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B2E" w:rsidRDefault="00391B2E">
      <w:pPr>
        <w:spacing w:before="240" w:after="240"/>
        <w:jc w:val="center"/>
        <w:rPr>
          <w:rFonts w:ascii="Arial" w:eastAsia="Arial" w:hAnsi="Arial" w:cs="Arial"/>
          <w:b/>
        </w:rPr>
      </w:pPr>
      <w:bookmarkStart w:id="0" w:name="_GoBack"/>
      <w:bookmarkEnd w:id="0"/>
    </w:p>
    <w:p w:rsidR="00391B2E" w:rsidRDefault="00391B2E">
      <w:pPr>
        <w:spacing w:before="240" w:after="240"/>
        <w:jc w:val="center"/>
        <w:rPr>
          <w:rFonts w:ascii="Arial" w:eastAsia="Arial" w:hAnsi="Arial" w:cs="Arial"/>
          <w:b/>
        </w:rPr>
      </w:pPr>
    </w:p>
    <w:p w:rsidR="00391B2E" w:rsidRDefault="00552398">
      <w:pPr>
        <w:spacing w:before="240" w:after="24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ПОВІДОМЛЕННЯ</w:t>
      </w:r>
    </w:p>
    <w:p w:rsidR="00391B2E" w:rsidRDefault="00552398">
      <w:pPr>
        <w:spacing w:before="240" w:after="24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про внесення змін до проекту порядку денного</w:t>
      </w:r>
    </w:p>
    <w:p w:rsidR="00391B2E" w:rsidRDefault="00552398">
      <w:pPr>
        <w:spacing w:before="240" w:after="24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позачергових загальних зборів акціонерного товариства</w:t>
      </w:r>
    </w:p>
    <w:p w:rsidR="00391B2E" w:rsidRDefault="00552398">
      <w:pPr>
        <w:spacing w:before="240" w:after="24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Публічного акціонерного товариства «Роганська картонна фабрика» </w:t>
      </w:r>
    </w:p>
    <w:p w:rsidR="00391B2E" w:rsidRDefault="00552398">
      <w:pPr>
        <w:spacing w:before="240" w:after="24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(далі – ПАТ «РКФ», Товариство),</w:t>
      </w:r>
    </w:p>
    <w:p w:rsidR="00391B2E" w:rsidRDefault="00552398">
      <w:pPr>
        <w:spacing w:before="240" w:after="24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код ЄДРПОУ </w:t>
      </w:r>
      <w:r>
        <w:rPr>
          <w:rFonts w:ascii="Arial" w:eastAsia="Arial" w:hAnsi="Arial" w:cs="Arial"/>
          <w:b/>
          <w:color w:val="1F1F1F"/>
          <w:sz w:val="24"/>
          <w:szCs w:val="24"/>
          <w:highlight w:val="white"/>
        </w:rPr>
        <w:t>00278830</w:t>
      </w:r>
      <w:r>
        <w:rPr>
          <w:rFonts w:ascii="Arial" w:eastAsia="Arial" w:hAnsi="Arial" w:cs="Arial"/>
          <w:b/>
          <w:sz w:val="24"/>
          <w:szCs w:val="24"/>
        </w:rPr>
        <w:t>,</w:t>
      </w:r>
    </w:p>
    <w:p w:rsidR="00391B2E" w:rsidRDefault="00552398">
      <w:pPr>
        <w:spacing w:before="240" w:after="24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місцезнаходження товариства: </w:t>
      </w:r>
      <w:r>
        <w:rPr>
          <w:rFonts w:ascii="Arial" w:eastAsia="Arial" w:hAnsi="Arial" w:cs="Arial"/>
          <w:b/>
          <w:color w:val="1F1F1F"/>
          <w:sz w:val="24"/>
          <w:szCs w:val="24"/>
          <w:highlight w:val="white"/>
        </w:rPr>
        <w:t>Україна, 62481, Харківська обл., Харківський р-н, селище міського типу Рогань, ВУЛИЦЯ КУЛЬТУРИ, будинок 57</w:t>
      </w:r>
    </w:p>
    <w:p w:rsidR="00391B2E" w:rsidRDefault="00552398">
      <w:pPr>
        <w:spacing w:before="240" w:after="2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 29  січня  2021 року  призначено  дистанційне  проведення позачергових загальних зборів Товариства (дата завершення г</w:t>
      </w:r>
      <w:r>
        <w:rPr>
          <w:rFonts w:ascii="Arial" w:eastAsia="Arial" w:hAnsi="Arial" w:cs="Arial"/>
          <w:sz w:val="24"/>
          <w:szCs w:val="24"/>
        </w:rPr>
        <w:t>олосування), що будуть проведені у відповідності до Тимчасового порядку скликання та дистанційного проведення загальних зборів акціонерів та загальних зборів учасників корпоративного інвестиційного фонду, затвердженого рішенням Національної комісії з цінни</w:t>
      </w:r>
      <w:r>
        <w:rPr>
          <w:rFonts w:ascii="Arial" w:eastAsia="Arial" w:hAnsi="Arial" w:cs="Arial"/>
          <w:sz w:val="24"/>
          <w:szCs w:val="24"/>
        </w:rPr>
        <w:t xml:space="preserve">х паперів та фондового ринку від 16.04.2020 № 196 (із змінами). </w:t>
      </w:r>
    </w:p>
    <w:p w:rsidR="00391B2E" w:rsidRDefault="00552398">
      <w:pPr>
        <w:spacing w:before="240" w:after="2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Відповідно до вимог ст. 38 Закону України "Про акціонерні товариства", повідомляємо, що за пропозицією акціонера до проекту порядку денного позачергових загальних зборів, що скликані на 29 сі</w:t>
      </w:r>
      <w:r>
        <w:rPr>
          <w:rFonts w:ascii="Arial" w:eastAsia="Arial" w:hAnsi="Arial" w:cs="Arial"/>
          <w:sz w:val="24"/>
          <w:szCs w:val="24"/>
        </w:rPr>
        <w:t>чня 2021  року, внесені нові питання та проекти рішень. Проект порядку денного  та проекти рішень з питань порядку денного з врахуванням наданих пропозицій наводяться нижче.</w:t>
      </w:r>
    </w:p>
    <w:p w:rsidR="00391B2E" w:rsidRDefault="00391B2E">
      <w:pPr>
        <w:spacing w:before="240" w:after="240"/>
        <w:jc w:val="both"/>
        <w:rPr>
          <w:rFonts w:ascii="Arial" w:eastAsia="Arial" w:hAnsi="Arial" w:cs="Arial"/>
          <w:sz w:val="24"/>
          <w:szCs w:val="24"/>
        </w:rPr>
      </w:pPr>
    </w:p>
    <w:p w:rsidR="00391B2E" w:rsidRDefault="00391B2E">
      <w:pPr>
        <w:spacing w:after="0" w:line="240" w:lineRule="auto"/>
        <w:jc w:val="center"/>
        <w:rPr>
          <w:rFonts w:ascii="Arial" w:eastAsia="Arial" w:hAnsi="Arial" w:cs="Arial"/>
        </w:rPr>
      </w:pPr>
    </w:p>
    <w:p w:rsidR="00391B2E" w:rsidRDefault="00391B2E">
      <w:pPr>
        <w:spacing w:after="0" w:line="240" w:lineRule="auto"/>
        <w:jc w:val="center"/>
        <w:rPr>
          <w:rFonts w:ascii="Arial" w:eastAsia="Arial" w:hAnsi="Arial" w:cs="Arial"/>
        </w:rPr>
      </w:pPr>
    </w:p>
    <w:p w:rsidR="00391B2E" w:rsidRDefault="00391B2E">
      <w:pPr>
        <w:spacing w:after="0" w:line="240" w:lineRule="auto"/>
        <w:jc w:val="center"/>
        <w:rPr>
          <w:rFonts w:ascii="Arial" w:eastAsia="Arial" w:hAnsi="Arial" w:cs="Arial"/>
        </w:rPr>
      </w:pPr>
    </w:p>
    <w:p w:rsidR="00391B2E" w:rsidRDefault="00552398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ПРОЄКТ ПОРЯДКУ ДЕННОГО: </w:t>
      </w:r>
    </w:p>
    <w:p w:rsidR="00391B2E" w:rsidRDefault="00552398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(перелік питань разом з проектом рішень (крім кумулят</w:t>
      </w:r>
      <w:r>
        <w:rPr>
          <w:rFonts w:ascii="Arial" w:eastAsia="Arial" w:hAnsi="Arial" w:cs="Arial"/>
        </w:rPr>
        <w:t>ивного голосування)</w:t>
      </w:r>
    </w:p>
    <w:p w:rsidR="00391B2E" w:rsidRDefault="00552398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щодо кожного з питань, включених до проекту порядку денного):</w:t>
      </w:r>
    </w:p>
    <w:p w:rsidR="00391B2E" w:rsidRDefault="00391B2E">
      <w:pPr>
        <w:spacing w:after="0" w:line="240" w:lineRule="auto"/>
        <w:jc w:val="center"/>
        <w:rPr>
          <w:rFonts w:ascii="Arial" w:eastAsia="Arial" w:hAnsi="Arial" w:cs="Arial"/>
        </w:rPr>
      </w:pPr>
      <w:bookmarkStart w:id="1" w:name="_heading=h.gjdgxs" w:colFirst="0" w:colLast="0"/>
      <w:bookmarkEnd w:id="1"/>
    </w:p>
    <w:tbl>
      <w:tblPr>
        <w:tblStyle w:val="aa"/>
        <w:tblW w:w="196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2760"/>
        <w:gridCol w:w="5632"/>
        <w:gridCol w:w="5386"/>
        <w:gridCol w:w="5386"/>
      </w:tblGrid>
      <w:tr w:rsidR="00391B2E">
        <w:trPr>
          <w:gridAfter w:val="1"/>
          <w:wAfter w:w="5386" w:type="dxa"/>
        </w:trPr>
        <w:tc>
          <w:tcPr>
            <w:tcW w:w="534" w:type="dxa"/>
            <w:shd w:val="clear" w:color="auto" w:fill="BFBFBF"/>
          </w:tcPr>
          <w:p w:rsidR="00391B2E" w:rsidRDefault="0055239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№</w:t>
            </w:r>
          </w:p>
        </w:tc>
        <w:tc>
          <w:tcPr>
            <w:tcW w:w="2760" w:type="dxa"/>
            <w:shd w:val="clear" w:color="auto" w:fill="BFBFBF"/>
          </w:tcPr>
          <w:p w:rsidR="00391B2E" w:rsidRDefault="0055239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Питання порядку денного</w:t>
            </w:r>
          </w:p>
        </w:tc>
        <w:tc>
          <w:tcPr>
            <w:tcW w:w="5632" w:type="dxa"/>
            <w:shd w:val="clear" w:color="auto" w:fill="BFBFBF"/>
          </w:tcPr>
          <w:p w:rsidR="00391B2E" w:rsidRDefault="0055239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Проєкт рішення №1</w:t>
            </w:r>
          </w:p>
        </w:tc>
        <w:tc>
          <w:tcPr>
            <w:tcW w:w="5386" w:type="dxa"/>
            <w:shd w:val="clear" w:color="auto" w:fill="BFBFBF"/>
          </w:tcPr>
          <w:p w:rsidR="00391B2E" w:rsidRDefault="0055239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Проект рішення №2</w:t>
            </w:r>
          </w:p>
        </w:tc>
      </w:tr>
      <w:tr w:rsidR="00391B2E">
        <w:tc>
          <w:tcPr>
            <w:tcW w:w="534" w:type="dxa"/>
          </w:tcPr>
          <w:p w:rsidR="00391B2E" w:rsidRDefault="0055239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2760" w:type="dxa"/>
          </w:tcPr>
          <w:p w:rsidR="00391B2E" w:rsidRDefault="0055239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Про обрання голови та членів лічильної комісії.</w:t>
            </w:r>
          </w:p>
        </w:tc>
        <w:tc>
          <w:tcPr>
            <w:tcW w:w="5632" w:type="dxa"/>
          </w:tcPr>
          <w:p w:rsidR="00391B2E" w:rsidRDefault="0055239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Обрати Головою лічильної комісії позачергових загальних зборів акціонерів Товариства – Шмиг Тарас Романович;</w:t>
            </w: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 </w:t>
            </w:r>
          </w:p>
          <w:p w:rsidR="00391B2E" w:rsidRDefault="00552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Кіт Уляна Вікторівна  – член лічильної комісії;</w:t>
            </w:r>
          </w:p>
          <w:p w:rsidR="00391B2E" w:rsidRDefault="0055239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Припинити повноваження членів лічильної комісії позачергових загальних зборів Товариства після виконання покладених на них обов’язків у повному обсязі.</w:t>
            </w:r>
          </w:p>
        </w:tc>
        <w:tc>
          <w:tcPr>
            <w:tcW w:w="5386" w:type="dxa"/>
          </w:tcPr>
          <w:p w:rsidR="00391B2E" w:rsidRDefault="00552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 Обрати Головою лічильної комісії позачергових загальних зборів акціонерів Товариства – Шмиг Тарас Ром</w:t>
            </w:r>
            <w:r>
              <w:rPr>
                <w:rFonts w:ascii="Arial" w:eastAsia="Arial" w:hAnsi="Arial" w:cs="Arial"/>
                <w:sz w:val="20"/>
                <w:szCs w:val="20"/>
              </w:rPr>
              <w:t>анович;</w:t>
            </w: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 </w:t>
            </w:r>
          </w:p>
          <w:p w:rsidR="00391B2E" w:rsidRDefault="00552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Крук Богдан Михайлович - член лічильної комісії;</w:t>
            </w:r>
          </w:p>
          <w:p w:rsidR="00391B2E" w:rsidRDefault="00552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Кіт Уляна Вікторівна  – член лічильної комісії.</w:t>
            </w:r>
          </w:p>
          <w:p w:rsidR="00391B2E" w:rsidRDefault="00552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 Припинити повноваження членів лічильної комісії позачергових загальних зборів Товариства після виконання покладених на них обов’язків у повному обс</w:t>
            </w:r>
            <w:r>
              <w:rPr>
                <w:rFonts w:ascii="Arial" w:eastAsia="Arial" w:hAnsi="Arial" w:cs="Arial"/>
                <w:sz w:val="20"/>
                <w:szCs w:val="20"/>
              </w:rPr>
              <w:t>язі.</w:t>
            </w:r>
          </w:p>
        </w:tc>
        <w:tc>
          <w:tcPr>
            <w:tcW w:w="5386" w:type="dxa"/>
          </w:tcPr>
          <w:p w:rsidR="00391B2E" w:rsidRDefault="00391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91B2E">
        <w:trPr>
          <w:gridAfter w:val="1"/>
          <w:wAfter w:w="5386" w:type="dxa"/>
        </w:trPr>
        <w:tc>
          <w:tcPr>
            <w:tcW w:w="534" w:type="dxa"/>
          </w:tcPr>
          <w:p w:rsidR="00391B2E" w:rsidRDefault="0055239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2760" w:type="dxa"/>
          </w:tcPr>
          <w:p w:rsidR="00391B2E" w:rsidRDefault="0055239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Про обрання голови та секретаря позачергових загальних зборів акціонерів Товариства.</w:t>
            </w:r>
          </w:p>
        </w:tc>
        <w:tc>
          <w:tcPr>
            <w:tcW w:w="5632" w:type="dxa"/>
          </w:tcPr>
          <w:p w:rsidR="00391B2E" w:rsidRDefault="0055239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Обрати головою позачергових загальних зборів Товариства – Ковбуз Андрій Васильович .</w:t>
            </w:r>
          </w:p>
          <w:p w:rsidR="00391B2E" w:rsidRDefault="0055239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Обрати секретарем позачергових загальних зборів Товариства – Ковбуз Ярослав Васильович.</w:t>
            </w:r>
          </w:p>
        </w:tc>
        <w:tc>
          <w:tcPr>
            <w:tcW w:w="5386" w:type="dxa"/>
          </w:tcPr>
          <w:p w:rsidR="00391B2E" w:rsidRDefault="00552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391B2E" w:rsidRDefault="00391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91B2E">
        <w:trPr>
          <w:gridAfter w:val="1"/>
          <w:wAfter w:w="5386" w:type="dxa"/>
        </w:trPr>
        <w:tc>
          <w:tcPr>
            <w:tcW w:w="534" w:type="dxa"/>
          </w:tcPr>
          <w:p w:rsidR="00391B2E" w:rsidRDefault="0055239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2760" w:type="dxa"/>
          </w:tcPr>
          <w:p w:rsidR="00391B2E" w:rsidRDefault="0055239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Про зміну типу та найменування Товариства.</w:t>
            </w:r>
          </w:p>
        </w:tc>
        <w:tc>
          <w:tcPr>
            <w:tcW w:w="5632" w:type="dxa"/>
          </w:tcPr>
          <w:p w:rsidR="00391B2E" w:rsidRDefault="0055239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Змінити тип Товариства з публічного акціонерного товариства на приватне акціонерне товариство.</w:t>
            </w:r>
          </w:p>
          <w:p w:rsidR="00391B2E" w:rsidRDefault="0055239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Змінити найменування Товариства з ПУБЛІЧНЕ  АКЦІОНЕРНЕ ТОВАРИСТВО «РОГАНСЬКА КАРТОННА ФАБРИКА» на АКЦІОНЕРНЕ ТОВАРИСТВО «РОГАНСЬКА КАРТОННА ФАБРИКА», скорочене найменування ПАТ «Роганська картонна фабрика» на АТ «Роганська картонна фабрика».</w:t>
            </w:r>
          </w:p>
          <w:p w:rsidR="00391B2E" w:rsidRDefault="0055239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Уповноважити Г</w:t>
            </w:r>
            <w:r>
              <w:rPr>
                <w:rFonts w:ascii="Arial" w:eastAsia="Arial" w:hAnsi="Arial" w:cs="Arial"/>
                <w:sz w:val="20"/>
                <w:szCs w:val="20"/>
              </w:rPr>
              <w:t>олову Правління (керівника виконавчого органу) Товариства або особу, що виконує його обов’язки (з правом передоручення іншим особам) у порядку, встановленому чинним законодавством України, здійснити дії та вжити всіх інших необхідних заходів, пов’язаних зі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зміною найменування Товариства</w:t>
            </w:r>
          </w:p>
        </w:tc>
        <w:tc>
          <w:tcPr>
            <w:tcW w:w="5386" w:type="dxa"/>
          </w:tcPr>
          <w:p w:rsidR="00391B2E" w:rsidRDefault="00391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91B2E">
        <w:trPr>
          <w:gridAfter w:val="1"/>
          <w:wAfter w:w="5386" w:type="dxa"/>
        </w:trPr>
        <w:tc>
          <w:tcPr>
            <w:tcW w:w="534" w:type="dxa"/>
          </w:tcPr>
          <w:p w:rsidR="00391B2E" w:rsidRDefault="0055239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2760" w:type="dxa"/>
          </w:tcPr>
          <w:p w:rsidR="00391B2E" w:rsidRDefault="0055239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Про визначення основних напрямів діяльності Товариства.</w:t>
            </w:r>
          </w:p>
        </w:tc>
        <w:tc>
          <w:tcPr>
            <w:tcW w:w="5632" w:type="dxa"/>
          </w:tcPr>
          <w:p w:rsidR="00391B2E" w:rsidRDefault="0055239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Визначити основні напрями діяльності Товариства на  2021 рік:</w:t>
            </w:r>
          </w:p>
          <w:p w:rsidR="00391B2E" w:rsidRDefault="00552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провадження Товариством ринкової діяльності, забезпечення прибутковості та ефективності, нарощування темпів господарської діяльності.</w:t>
            </w:r>
          </w:p>
          <w:p w:rsidR="00391B2E" w:rsidRDefault="00391B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391B2E" w:rsidRDefault="00391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91B2E">
        <w:trPr>
          <w:gridAfter w:val="1"/>
          <w:wAfter w:w="5386" w:type="dxa"/>
        </w:trPr>
        <w:tc>
          <w:tcPr>
            <w:tcW w:w="534" w:type="dxa"/>
          </w:tcPr>
          <w:p w:rsidR="00391B2E" w:rsidRDefault="0055239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5.</w:t>
            </w:r>
          </w:p>
        </w:tc>
        <w:tc>
          <w:tcPr>
            <w:tcW w:w="2760" w:type="dxa"/>
          </w:tcPr>
          <w:p w:rsidR="00391B2E" w:rsidRDefault="0055239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Про визначення кількісного складу Наглядової ради.</w:t>
            </w:r>
          </w:p>
        </w:tc>
        <w:tc>
          <w:tcPr>
            <w:tcW w:w="5632" w:type="dxa"/>
          </w:tcPr>
          <w:p w:rsidR="00391B2E" w:rsidRDefault="0055239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1.Визначити та затвердити склад Наглядової ради Товариства у кількості 5 (пяти) осіб.</w:t>
            </w:r>
          </w:p>
        </w:tc>
        <w:tc>
          <w:tcPr>
            <w:tcW w:w="5386" w:type="dxa"/>
          </w:tcPr>
          <w:p w:rsidR="00391B2E" w:rsidRDefault="00391B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91B2E">
        <w:trPr>
          <w:gridAfter w:val="1"/>
          <w:wAfter w:w="5386" w:type="dxa"/>
        </w:trPr>
        <w:tc>
          <w:tcPr>
            <w:tcW w:w="534" w:type="dxa"/>
          </w:tcPr>
          <w:p w:rsidR="00391B2E" w:rsidRDefault="0055239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2760" w:type="dxa"/>
          </w:tcPr>
          <w:p w:rsidR="00391B2E" w:rsidRDefault="0055239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Про затвердження Статуту Товариства у новій редакції.</w:t>
            </w:r>
          </w:p>
        </w:tc>
        <w:tc>
          <w:tcPr>
            <w:tcW w:w="5632" w:type="dxa"/>
          </w:tcPr>
          <w:p w:rsidR="00391B2E" w:rsidRDefault="0055239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1.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Внести зміни до статуту Товариства, виклавши його у новій редакції, та затвердити нову редакцію статуту Това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риства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  <w:p w:rsidR="00391B2E" w:rsidRDefault="0055239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 Уповноважити Голову та Секретаря позачергових загальних зборів Товариства  підписати статут Товариства у новій редакції.</w:t>
            </w:r>
          </w:p>
          <w:p w:rsidR="00391B2E" w:rsidRDefault="0055239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 Уповноважити Голову Правління (керівника виконавчого органу) Товариства або особу, що виконує його обов’язки (з правом передоручення іншим особам) у порядку, встановленому чинним законодавством України, здійснити  державну реєстрацію нової редакції стат</w:t>
            </w:r>
            <w:r>
              <w:rPr>
                <w:rFonts w:ascii="Arial" w:eastAsia="Arial" w:hAnsi="Arial" w:cs="Arial"/>
                <w:sz w:val="20"/>
                <w:szCs w:val="20"/>
              </w:rPr>
              <w:t>уту Товариства.</w:t>
            </w:r>
          </w:p>
        </w:tc>
        <w:tc>
          <w:tcPr>
            <w:tcW w:w="5386" w:type="dxa"/>
          </w:tcPr>
          <w:p w:rsidR="00391B2E" w:rsidRDefault="00391B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91B2E">
        <w:trPr>
          <w:gridAfter w:val="1"/>
          <w:wAfter w:w="5386" w:type="dxa"/>
        </w:trPr>
        <w:tc>
          <w:tcPr>
            <w:tcW w:w="534" w:type="dxa"/>
          </w:tcPr>
          <w:p w:rsidR="00391B2E" w:rsidRDefault="0055239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</w:t>
            </w:r>
          </w:p>
        </w:tc>
        <w:tc>
          <w:tcPr>
            <w:tcW w:w="2760" w:type="dxa"/>
          </w:tcPr>
          <w:p w:rsidR="00391B2E" w:rsidRDefault="0055239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Про обрання членів Наглядової ради Товариства.</w:t>
            </w:r>
          </w:p>
        </w:tc>
        <w:tc>
          <w:tcPr>
            <w:tcW w:w="5632" w:type="dxa"/>
          </w:tcPr>
          <w:p w:rsidR="00391B2E" w:rsidRDefault="00552398">
            <w:pPr>
              <w:spacing w:before="180" w:after="1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Обрати членами Наглядової ради Товариства строком на 3 (три) роки:</w:t>
            </w:r>
          </w:p>
          <w:p w:rsidR="00391B2E" w:rsidRDefault="00552398">
            <w:pPr>
              <w:spacing w:before="180" w:after="180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* Обрання членів Наглядової ради Товариства буде відбуватися шляхом кумулятивного голосування відповідно до наданих акціонерами кандидатур.</w:t>
            </w:r>
          </w:p>
        </w:tc>
        <w:tc>
          <w:tcPr>
            <w:tcW w:w="5386" w:type="dxa"/>
          </w:tcPr>
          <w:p w:rsidR="00391B2E" w:rsidRDefault="00391B2E">
            <w:pPr>
              <w:spacing w:before="180" w:after="1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91B2E">
        <w:trPr>
          <w:gridAfter w:val="1"/>
          <w:wAfter w:w="5386" w:type="dxa"/>
        </w:trPr>
        <w:tc>
          <w:tcPr>
            <w:tcW w:w="534" w:type="dxa"/>
          </w:tcPr>
          <w:p w:rsidR="00391B2E" w:rsidRDefault="0055239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8.</w:t>
            </w:r>
          </w:p>
        </w:tc>
        <w:tc>
          <w:tcPr>
            <w:tcW w:w="2760" w:type="dxa"/>
          </w:tcPr>
          <w:p w:rsidR="00391B2E" w:rsidRDefault="0055239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Про затвердження умов договорів  з членами Наглядової ради Товариства. </w:t>
            </w:r>
          </w:p>
        </w:tc>
        <w:tc>
          <w:tcPr>
            <w:tcW w:w="5632" w:type="dxa"/>
          </w:tcPr>
          <w:p w:rsidR="00391B2E" w:rsidRDefault="0055239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Затвердити умови цивільно-правових дого</w:t>
            </w:r>
            <w:r>
              <w:rPr>
                <w:rFonts w:ascii="Arial" w:eastAsia="Arial" w:hAnsi="Arial" w:cs="Arial"/>
                <w:sz w:val="20"/>
                <w:szCs w:val="20"/>
              </w:rPr>
              <w:t>ворів з членами Наглядової ради Товариства: виконання функцій здійснюється на безоплатній основі; порядок діяльності, права, обов’язки та відповідальність Голови та члена Наглядової ради визначаються відповідно до Положення про Наглядову раду Товариства; с</w:t>
            </w:r>
            <w:r>
              <w:rPr>
                <w:rFonts w:ascii="Arial" w:eastAsia="Arial" w:hAnsi="Arial" w:cs="Arial"/>
                <w:sz w:val="20"/>
                <w:szCs w:val="20"/>
              </w:rPr>
              <w:t>трок дії договору – три роки.</w:t>
            </w:r>
          </w:p>
        </w:tc>
        <w:tc>
          <w:tcPr>
            <w:tcW w:w="5386" w:type="dxa"/>
          </w:tcPr>
          <w:p w:rsidR="00391B2E" w:rsidRDefault="00391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91B2E">
        <w:trPr>
          <w:gridAfter w:val="1"/>
          <w:wAfter w:w="5386" w:type="dxa"/>
        </w:trPr>
        <w:tc>
          <w:tcPr>
            <w:tcW w:w="534" w:type="dxa"/>
          </w:tcPr>
          <w:p w:rsidR="00391B2E" w:rsidRDefault="0055239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9.</w:t>
            </w:r>
          </w:p>
        </w:tc>
        <w:tc>
          <w:tcPr>
            <w:tcW w:w="2760" w:type="dxa"/>
          </w:tcPr>
          <w:p w:rsidR="00391B2E" w:rsidRDefault="0055239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Про обрання особи уповноваженої, на підписання договорів з членами Наглядової ради Товариства.</w:t>
            </w:r>
          </w:p>
        </w:tc>
        <w:tc>
          <w:tcPr>
            <w:tcW w:w="5632" w:type="dxa"/>
          </w:tcPr>
          <w:p w:rsidR="00391B2E" w:rsidRDefault="0055239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Уповноважити Голову Правління (керівника виконавчого органу) Товариства або особу, що виконує його обов’язки підписати від імені Товариства цивільно-правовий договір з членом (в т.ч. Головою) Наглядової ради Товариства </w:t>
            </w:r>
            <w:r>
              <w:rPr>
                <w:rFonts w:ascii="Arial" w:eastAsia="Arial" w:hAnsi="Arial" w:cs="Arial"/>
                <w:sz w:val="20"/>
                <w:szCs w:val="20"/>
              </w:rPr>
              <w:t>на затверджених умовах.</w:t>
            </w:r>
          </w:p>
        </w:tc>
        <w:tc>
          <w:tcPr>
            <w:tcW w:w="5386" w:type="dxa"/>
          </w:tcPr>
          <w:p w:rsidR="00391B2E" w:rsidRDefault="00391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</w:tr>
      <w:tr w:rsidR="00391B2E">
        <w:trPr>
          <w:gridAfter w:val="1"/>
          <w:wAfter w:w="5386" w:type="dxa"/>
        </w:trPr>
        <w:tc>
          <w:tcPr>
            <w:tcW w:w="534" w:type="dxa"/>
          </w:tcPr>
          <w:p w:rsidR="00391B2E" w:rsidRDefault="0055239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10.</w:t>
            </w:r>
          </w:p>
        </w:tc>
        <w:tc>
          <w:tcPr>
            <w:tcW w:w="2760" w:type="dxa"/>
          </w:tcPr>
          <w:p w:rsidR="00391B2E" w:rsidRDefault="0055239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Про припинення повноважень Голови та членів Ревізійної комісії Товариства.</w:t>
            </w:r>
          </w:p>
        </w:tc>
        <w:tc>
          <w:tcPr>
            <w:tcW w:w="5632" w:type="dxa"/>
          </w:tcPr>
          <w:p w:rsidR="00391B2E" w:rsidRDefault="0055239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Припинити повноваження діючих (на момент проведення  цих позачергових  загальних зборів Товариства) членів (в тому числі голови) Ревізійної комісії Товариства, з моменту прийняття д</w:t>
            </w:r>
            <w:r>
              <w:rPr>
                <w:rFonts w:ascii="Arial" w:eastAsia="Arial" w:hAnsi="Arial" w:cs="Arial"/>
                <w:sz w:val="20"/>
                <w:szCs w:val="20"/>
              </w:rPr>
              <w:t>аного рішення.</w:t>
            </w:r>
          </w:p>
        </w:tc>
        <w:tc>
          <w:tcPr>
            <w:tcW w:w="5386" w:type="dxa"/>
          </w:tcPr>
          <w:p w:rsidR="00391B2E" w:rsidRDefault="00391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91B2E">
        <w:trPr>
          <w:gridAfter w:val="1"/>
          <w:wAfter w:w="5386" w:type="dxa"/>
        </w:trPr>
        <w:tc>
          <w:tcPr>
            <w:tcW w:w="534" w:type="dxa"/>
          </w:tcPr>
          <w:p w:rsidR="00391B2E" w:rsidRDefault="0055239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11.</w:t>
            </w:r>
          </w:p>
        </w:tc>
        <w:tc>
          <w:tcPr>
            <w:tcW w:w="2760" w:type="dxa"/>
          </w:tcPr>
          <w:p w:rsidR="00391B2E" w:rsidRDefault="0055239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Про затвердження Принципів (кодексу) корпоративного управління Товариства.</w:t>
            </w:r>
          </w:p>
        </w:tc>
        <w:tc>
          <w:tcPr>
            <w:tcW w:w="5632" w:type="dxa"/>
          </w:tcPr>
          <w:p w:rsidR="00391B2E" w:rsidRDefault="0055239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Затвердити Принципи (кодекс) корпоративного управління Товариства, що додається.</w:t>
            </w:r>
          </w:p>
          <w:p w:rsidR="00391B2E" w:rsidRDefault="0055239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Визначити,  що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Принципи (кодекс) корпоративного управління Товариства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починають діяти (набирають чинності) з дня державної реєстрації Статуту Товариства в новій редакції.</w:t>
            </w:r>
          </w:p>
        </w:tc>
        <w:tc>
          <w:tcPr>
            <w:tcW w:w="5386" w:type="dxa"/>
          </w:tcPr>
          <w:p w:rsidR="00391B2E" w:rsidRDefault="00391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91B2E">
        <w:trPr>
          <w:gridAfter w:val="1"/>
          <w:wAfter w:w="5386" w:type="dxa"/>
        </w:trPr>
        <w:tc>
          <w:tcPr>
            <w:tcW w:w="534" w:type="dxa"/>
          </w:tcPr>
          <w:p w:rsidR="00391B2E" w:rsidRDefault="0055239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12.</w:t>
            </w:r>
          </w:p>
        </w:tc>
        <w:tc>
          <w:tcPr>
            <w:tcW w:w="2760" w:type="dxa"/>
          </w:tcPr>
          <w:p w:rsidR="00391B2E" w:rsidRDefault="0055239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Про затвердження нової редакції Положення про Наглядову раду Товариства.</w:t>
            </w:r>
          </w:p>
        </w:tc>
        <w:tc>
          <w:tcPr>
            <w:tcW w:w="5632" w:type="dxa"/>
          </w:tcPr>
          <w:p w:rsidR="00391B2E" w:rsidRDefault="0055239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Затвердити нову редакцію Положення про Наглядову раду Товариства, що додається.</w:t>
            </w:r>
          </w:p>
          <w:p w:rsidR="00391B2E" w:rsidRDefault="00552398">
            <w:pPr>
              <w:numPr>
                <w:ilvl w:val="0"/>
                <w:numId w:val="9"/>
              </w:numPr>
              <w:spacing w:after="200"/>
              <w:ind w:left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Визначити,  що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нова редакція Положення про Наглядову раду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починає  діяти (набирає  чинності) з дня державної реєстрації Статуту Товариства в новій редакції.</w:t>
            </w:r>
          </w:p>
          <w:p w:rsidR="00391B2E" w:rsidRDefault="00391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391B2E" w:rsidRDefault="00391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91B2E">
        <w:trPr>
          <w:gridAfter w:val="1"/>
          <w:wAfter w:w="5386" w:type="dxa"/>
        </w:trPr>
        <w:tc>
          <w:tcPr>
            <w:tcW w:w="534" w:type="dxa"/>
          </w:tcPr>
          <w:p w:rsidR="00391B2E" w:rsidRDefault="0055239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13.</w:t>
            </w:r>
          </w:p>
        </w:tc>
        <w:tc>
          <w:tcPr>
            <w:tcW w:w="2760" w:type="dxa"/>
          </w:tcPr>
          <w:p w:rsidR="00391B2E" w:rsidRDefault="0055239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Про затвердження нової редакції Положення про Загальні збори Товариства.</w:t>
            </w:r>
          </w:p>
        </w:tc>
        <w:tc>
          <w:tcPr>
            <w:tcW w:w="5632" w:type="dxa"/>
          </w:tcPr>
          <w:p w:rsidR="00391B2E" w:rsidRDefault="0055239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Затвердити нову редакцію Положення про Загальні збори акціонерів Товариства, що додається.</w:t>
            </w:r>
          </w:p>
          <w:p w:rsidR="00391B2E" w:rsidRDefault="00552398">
            <w:pPr>
              <w:numPr>
                <w:ilvl w:val="0"/>
                <w:numId w:val="5"/>
              </w:numPr>
              <w:spacing w:after="200"/>
              <w:ind w:left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Визначити,  що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нова редакція Положення про Загальні збори акціонерів Товариства 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починає  діяти (набирає  чинності) з дня державної реєстрації Статуту Товариства в новій редакції.</w:t>
            </w:r>
          </w:p>
        </w:tc>
        <w:tc>
          <w:tcPr>
            <w:tcW w:w="5386" w:type="dxa"/>
          </w:tcPr>
          <w:p w:rsidR="00391B2E" w:rsidRDefault="00391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91B2E">
        <w:trPr>
          <w:gridAfter w:val="1"/>
          <w:wAfter w:w="5386" w:type="dxa"/>
        </w:trPr>
        <w:tc>
          <w:tcPr>
            <w:tcW w:w="534" w:type="dxa"/>
          </w:tcPr>
          <w:p w:rsidR="00391B2E" w:rsidRDefault="0055239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14.</w:t>
            </w:r>
          </w:p>
        </w:tc>
        <w:tc>
          <w:tcPr>
            <w:tcW w:w="2760" w:type="dxa"/>
          </w:tcPr>
          <w:p w:rsidR="00391B2E" w:rsidRDefault="0055239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Про затвердження нової редакції Положення про Правління Товариства.</w:t>
            </w:r>
          </w:p>
        </w:tc>
        <w:tc>
          <w:tcPr>
            <w:tcW w:w="5632" w:type="dxa"/>
          </w:tcPr>
          <w:p w:rsidR="00391B2E" w:rsidRDefault="005523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Затвердити нову редакцію Положення про Правління Товариства, що додається.</w:t>
            </w:r>
          </w:p>
          <w:p w:rsidR="00391B2E" w:rsidRDefault="00552398">
            <w:pPr>
              <w:numPr>
                <w:ilvl w:val="0"/>
                <w:numId w:val="1"/>
              </w:numPr>
              <w:spacing w:after="200"/>
              <w:ind w:left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Визначити,  що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нова редакція Положення про Загальні збори акціонерів Товариства 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починає  діяти (набирає  чинності) з дня державної реєстрації Статуту Товариства в новій редакції.</w:t>
            </w:r>
          </w:p>
        </w:tc>
        <w:tc>
          <w:tcPr>
            <w:tcW w:w="5386" w:type="dxa"/>
          </w:tcPr>
          <w:p w:rsidR="00391B2E" w:rsidRDefault="00391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91B2E">
        <w:trPr>
          <w:gridAfter w:val="1"/>
          <w:wAfter w:w="5386" w:type="dxa"/>
        </w:trPr>
        <w:tc>
          <w:tcPr>
            <w:tcW w:w="534" w:type="dxa"/>
          </w:tcPr>
          <w:p w:rsidR="00391B2E" w:rsidRDefault="0055239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15.</w:t>
            </w:r>
          </w:p>
        </w:tc>
        <w:tc>
          <w:tcPr>
            <w:tcW w:w="2760" w:type="dxa"/>
          </w:tcPr>
          <w:p w:rsidR="00391B2E" w:rsidRDefault="0055239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Про надання повноважень на вчинення значних правочинів.</w:t>
            </w:r>
          </w:p>
        </w:tc>
        <w:tc>
          <w:tcPr>
            <w:tcW w:w="5632" w:type="dxa"/>
          </w:tcPr>
          <w:p w:rsidR="00391B2E" w:rsidRDefault="00552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 Cхвалити вчинення Товариством, в період з 29 січня 2021 року по 29 січня 2022 року (включно) значних правочинів, предметом (характером) яких є:</w:t>
            </w:r>
          </w:p>
          <w:p w:rsidR="00391B2E" w:rsidRDefault="00552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одержання Товариством кредитів/позик (прийняття грошових зобов’язань), гарантій, акредитивів та/або одержан</w:t>
            </w:r>
            <w:r>
              <w:rPr>
                <w:rFonts w:ascii="Arial" w:eastAsia="Arial" w:hAnsi="Arial" w:cs="Arial"/>
                <w:sz w:val="20"/>
                <w:szCs w:val="20"/>
              </w:rPr>
              <w:t>ня будь-яких інших банківських продуктів/послуг в банківських установах, в тому числі шляхом збільшення суми та/або продовження строку діючих договорів/угод;</w:t>
            </w:r>
          </w:p>
          <w:p w:rsidR="00391B2E" w:rsidRDefault="00552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- передача майна (майнових прав) Товариства, в заставу/іпотеку та/або укладання Товариством інших </w:t>
            </w:r>
            <w:r>
              <w:rPr>
                <w:rFonts w:ascii="Arial" w:eastAsia="Arial" w:hAnsi="Arial" w:cs="Arial"/>
                <w:sz w:val="20"/>
                <w:szCs w:val="20"/>
              </w:rPr>
              <w:t>договорів забезпечення виконання зобов’язань (в т.ч. договорів поруки) Товариства та/або забезпечення зобов’язань будь-яких третіх осіб;</w:t>
            </w:r>
          </w:p>
          <w:p w:rsidR="00391B2E" w:rsidRDefault="00552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участь у тендерах, конкурсах, торгах щодо закупівель продукції, що виробляється Товариством;</w:t>
            </w:r>
          </w:p>
          <w:p w:rsidR="00391B2E" w:rsidRDefault="00552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укладення договорів ку</w:t>
            </w:r>
            <w:r>
              <w:rPr>
                <w:rFonts w:ascii="Arial" w:eastAsia="Arial" w:hAnsi="Arial" w:cs="Arial"/>
                <w:sz w:val="20"/>
                <w:szCs w:val="20"/>
              </w:rPr>
              <w:t>півлі-продажу, поставки, підряду продукції (товарів, робіт, послуг), що виробляється Товариством.</w:t>
            </w:r>
          </w:p>
          <w:p w:rsidR="00391B2E" w:rsidRDefault="00552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 цьому гранична сукупна вартість вищевказаних значних правочинів в тому числі щодо одержання Товариством кредитів/позик (прийняття грошових зобов’язань), г</w:t>
            </w:r>
            <w:r>
              <w:rPr>
                <w:rFonts w:ascii="Arial" w:eastAsia="Arial" w:hAnsi="Arial" w:cs="Arial"/>
                <w:sz w:val="20"/>
                <w:szCs w:val="20"/>
              </w:rPr>
              <w:t>арантій, акредитивів та/або одержання будь-яких інших банківських продуктів/послуг в банківських установах з усіма можливими змінами та доповненнями до них (в т.ч. до вже укладених Товариством правочинів) та передачі майна (майнових прав) Товариства в заст</w:t>
            </w:r>
            <w:r>
              <w:rPr>
                <w:rFonts w:ascii="Arial" w:eastAsia="Arial" w:hAnsi="Arial" w:cs="Arial"/>
                <w:sz w:val="20"/>
                <w:szCs w:val="20"/>
              </w:rPr>
              <w:t>аву/іпотеку та/або укладення інших договорів забезпечення виконання зобов’язань (у т.ч. договорів поруки) Товариства та/або забезпечення зобов’язань будь-яких третіх осіб, з усіма можливими змінами та доповненнями до них (у т.ч. до вже укладених Товариство</w:t>
            </w:r>
            <w:r>
              <w:rPr>
                <w:rFonts w:ascii="Arial" w:eastAsia="Arial" w:hAnsi="Arial" w:cs="Arial"/>
                <w:sz w:val="20"/>
                <w:szCs w:val="20"/>
              </w:rPr>
              <w:t>м) - не може перевищувати 4 000 000 00 (чотириста мільйонів гривень) гривень.</w:t>
            </w:r>
          </w:p>
          <w:p w:rsidR="00391B2E" w:rsidRDefault="0055239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2.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Надати повноваження Наглядовій раді Товариства визначати та затверджувати істотні  умови значних правочинів на які надана попередня згода в п.1 цього рішення.</w:t>
            </w:r>
          </w:p>
        </w:tc>
        <w:tc>
          <w:tcPr>
            <w:tcW w:w="5386" w:type="dxa"/>
          </w:tcPr>
          <w:p w:rsidR="00391B2E" w:rsidRDefault="0055239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1. Cхвалити вчинення Товариством, в період з 29 січня 2021 року по 29 січня 2022 року (включно) значних правочинів сторонами яких виступають банківські установи в тому числі  предметом (характером) яких є:</w:t>
            </w:r>
          </w:p>
          <w:p w:rsidR="00391B2E" w:rsidRDefault="0055239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одержання Товариством кредитів/позик (прийняття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грошових зобов’язань), гарантій, акредитивів та/або одержання будь-яких інших банківських продуктів/послуг в АТ «ПроКредит Банк», АТ “Райффайзен Банку Аваль”, Публічне акціонерне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товариство Акціонерний банк “Південний”, Акціонерне товариство “Креді Агрікол</w:t>
            </w:r>
            <w:r>
              <w:rPr>
                <w:rFonts w:ascii="Arial" w:eastAsia="Arial" w:hAnsi="Arial" w:cs="Arial"/>
                <w:sz w:val="20"/>
                <w:szCs w:val="20"/>
              </w:rPr>
              <w:t>ь Банк”, Акціонерне товариство комерційний банк “Приватбанк”, Акціонерне товариство “Мегабанк” та інших банківських установах, в тому числі шляхом збільшення суми та/або продовження строку діючих договорів/угод;</w:t>
            </w:r>
          </w:p>
          <w:p w:rsidR="00391B2E" w:rsidRDefault="0055239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передача майна (майнових прав) Товариства,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в заставу/іпотеку та/або укладання Товариством інших договорів забезпечення виконання зобов’язань (в т.ч. договорів поруки) Товариства та/або забезпечення зобов’язань будь-яких третіх осіб;</w:t>
            </w:r>
          </w:p>
          <w:p w:rsidR="00391B2E" w:rsidRDefault="00391B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391B2E" w:rsidRDefault="0055239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2. Cхвалити вчинення Товариством, в період з 29 січня 2021 року </w:t>
            </w:r>
            <w:r>
              <w:rPr>
                <w:rFonts w:ascii="Arial" w:eastAsia="Arial" w:hAnsi="Arial" w:cs="Arial"/>
                <w:sz w:val="20"/>
                <w:szCs w:val="20"/>
              </w:rPr>
              <w:t>по 29 січня 2022 року (включно) значних правочинів предметом (характером) яких є:</w:t>
            </w:r>
          </w:p>
          <w:p w:rsidR="00391B2E" w:rsidRDefault="0055239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участь у тендерах, конкурсах, торгах щодо закупівель продукції, що виробляється іншими Підприємствами та/або Товариством;</w:t>
            </w:r>
          </w:p>
          <w:p w:rsidR="00391B2E" w:rsidRDefault="0055239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укладення договорів купівлі-продажу, поставки, п</w:t>
            </w:r>
            <w:r>
              <w:rPr>
                <w:rFonts w:ascii="Arial" w:eastAsia="Arial" w:hAnsi="Arial" w:cs="Arial"/>
                <w:sz w:val="20"/>
                <w:szCs w:val="20"/>
              </w:rPr>
              <w:t>ідряду продукції (товарів, робіт, послуг), що виробляється іншими підприємствами та/або Товариством;</w:t>
            </w:r>
          </w:p>
          <w:p w:rsidR="00391B2E" w:rsidRDefault="0055239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укладення договорів купівлі - продажу нерухомого майна, основних засобів матеріальних та нематеріальних активів; </w:t>
            </w:r>
          </w:p>
          <w:p w:rsidR="00391B2E" w:rsidRDefault="0055239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надання поруки Товариства  за  будь-яких третіх осіб.</w:t>
            </w:r>
          </w:p>
          <w:p w:rsidR="00391B2E" w:rsidRDefault="00391B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391B2E" w:rsidRDefault="00552398">
            <w:pPr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3.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Надати повноваження Наглядовій раді Товариства:</w:t>
            </w:r>
          </w:p>
          <w:p w:rsidR="00391B2E" w:rsidRDefault="0055239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приймати рішення про одержання Товариством кредитів/позик (прийняття грошових зобов’язань), гарантій, акредитивів та/або одержання будь-яких інших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банківських продуктів/послуг в АТ «ПроКредит Банк», АТ “Райффайзен Банку Аваль”, Публічне акціонерне товариство Акціонерний банк “Південний”, Акціонерне товариство “Креді Агріколь Банк”, Акціонерне товариство комерційний банк “Приватбанк”, Акціонерне това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риство “Мегабанк” та інших банківських установах, в тому числі шляхом збільшення суми та/або продовження строку діючих договорів/угод; визначати суму, строк, валюту, відсотки за договорами кредиту,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позики, гарантії та договорами про надання інших банківськ</w:t>
            </w:r>
            <w:r>
              <w:rPr>
                <w:rFonts w:ascii="Arial" w:eastAsia="Arial" w:hAnsi="Arial" w:cs="Arial"/>
                <w:sz w:val="20"/>
                <w:szCs w:val="20"/>
              </w:rPr>
              <w:t>их послуг;</w:t>
            </w:r>
          </w:p>
          <w:p w:rsidR="00391B2E" w:rsidRDefault="0055239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приймати рішення про передачу майна (майнових прав) Товариства, в заставу/іпотеку та/або укладання Товариством інших договорів забезпечення виконання зобов’язань (в т.ч. договорів поруки) Товариства та/або забезпечення зобов’язань будь-яких тр</w:t>
            </w:r>
            <w:r>
              <w:rPr>
                <w:rFonts w:ascii="Arial" w:eastAsia="Arial" w:hAnsi="Arial" w:cs="Arial"/>
                <w:sz w:val="20"/>
                <w:szCs w:val="20"/>
              </w:rPr>
              <w:t>етіх осіб, погоджувати вид, кількість та конкретний перелік майна, яке буде передане у заставу/іпотеку чи інший спосіб забезпечення;</w:t>
            </w:r>
          </w:p>
          <w:p w:rsidR="00391B2E" w:rsidRDefault="0055239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приймати рішення про вчинення правочинів (укладення договорів), предметом яких є купівля-продаж основних засобів, якщо су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ма правочину (договору) перевищує 50 000,00 грн.  </w:t>
            </w:r>
          </w:p>
          <w:p w:rsidR="00391B2E" w:rsidRDefault="00391B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391B2E" w:rsidRDefault="0055239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4. Гранична сукупна вартість значних правочинів зазначених в цьому рішенні, в тому числі щодо одержання Товариством кредитів/позик (прийняття грошових зобов’язань), гарантій, акредитивів та/або одержання </w:t>
            </w:r>
            <w:r>
              <w:rPr>
                <w:rFonts w:ascii="Arial" w:eastAsia="Arial" w:hAnsi="Arial" w:cs="Arial"/>
                <w:sz w:val="20"/>
                <w:szCs w:val="20"/>
              </w:rPr>
              <w:t>будь-яких інших банківських продуктів/послуг в банківських установах з усіма можливими змінами та доповненнями до них (в т.ч. до вже укладених Товариством правочинів) та передачі майна (майнових прав) Товариства в заставу/іпотеку та/або укладення інших дог</w:t>
            </w:r>
            <w:r>
              <w:rPr>
                <w:rFonts w:ascii="Arial" w:eastAsia="Arial" w:hAnsi="Arial" w:cs="Arial"/>
                <w:sz w:val="20"/>
                <w:szCs w:val="20"/>
              </w:rPr>
              <w:t>оворів забезпечення виконання зобов’язань (у т.ч. договорів поруки) Товариства та/або забезпечення зобов’язань будь-яких третіх осіб, з усіма можливими змінами та доповненнями до них (у т.ч. до вже укладених Товариством) - не може перевищувати 2 000 000 00</w:t>
            </w:r>
            <w:r>
              <w:rPr>
                <w:rFonts w:ascii="Arial" w:eastAsia="Arial" w:hAnsi="Arial" w:cs="Arial"/>
                <w:sz w:val="20"/>
                <w:szCs w:val="20"/>
              </w:rPr>
              <w:t>0 (два мільярди) гривень.</w:t>
            </w:r>
          </w:p>
          <w:p w:rsidR="00391B2E" w:rsidRDefault="00391B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391B2E" w:rsidRDefault="0055239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 Уповноважити Голову Правління Товариства:</w:t>
            </w:r>
          </w:p>
          <w:p w:rsidR="00391B2E" w:rsidRDefault="0055239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 діяти від імені Товариства всіх відносинах із банками в межах, встановлених пп.1-4 цього рішення Загальних зборів акціонерів та відповідно до рішень Наглядової ради, прийнятих відпо</w:t>
            </w:r>
            <w:r>
              <w:rPr>
                <w:rFonts w:ascii="Arial" w:eastAsia="Arial" w:hAnsi="Arial" w:cs="Arial"/>
                <w:sz w:val="20"/>
                <w:szCs w:val="20"/>
              </w:rPr>
              <w:t>відно до п.3 цього рішення, без необхідності попереднього та/або наступного погодження із Загальними зборами учасників Товариства та іншими органами Товариства інших умов таких договорів</w:t>
            </w:r>
          </w:p>
          <w:p w:rsidR="00391B2E" w:rsidRDefault="0055239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- на підписання зазначених у пп.1-4 цього рішення правочинів (договор</w:t>
            </w:r>
            <w:r>
              <w:rPr>
                <w:rFonts w:ascii="Arial" w:eastAsia="Arial" w:hAnsi="Arial" w:cs="Arial"/>
                <w:sz w:val="20"/>
                <w:szCs w:val="20"/>
              </w:rPr>
              <w:t>ів), в межах, визначених рішенням Наглядової ради, з правом узгодження умов, не визначених рішенням Наглядової ради, на власний розсуд</w:t>
            </w:r>
          </w:p>
          <w:p w:rsidR="00391B2E" w:rsidRDefault="0055239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самостійно визначати інші умови за договорами кредиту, позики, гарантії, за договорами про надання інших банківських по</w:t>
            </w:r>
            <w:r>
              <w:rPr>
                <w:rFonts w:ascii="Arial" w:eastAsia="Arial" w:hAnsi="Arial" w:cs="Arial"/>
                <w:sz w:val="20"/>
                <w:szCs w:val="20"/>
              </w:rPr>
              <w:t>слуг та за договорами забезпечення, не визначені рішеннями Наглядової ради</w:t>
            </w:r>
          </w:p>
          <w:p w:rsidR="00391B2E" w:rsidRDefault="0055239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підготувати, підписати та подати у банки усі документи, необхідні для укладення відповідних договорів кредиту, позики, гарантії, за договорами про надання інших банківських послуг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та за договорами забезпечення;</w:t>
            </w:r>
          </w:p>
          <w:p w:rsidR="00391B2E" w:rsidRDefault="0055239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при необхідності звертатися до будь-яких третіх осіб з клопотанням виступити майновими чи фінансовими поручителями Товариства перед основним кредитором;</w:t>
            </w:r>
          </w:p>
          <w:p w:rsidR="00391B2E" w:rsidRDefault="0055239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укласти та підписати від імені Товариства будь-які кредитні договор</w:t>
            </w:r>
            <w:r>
              <w:rPr>
                <w:rFonts w:ascii="Arial" w:eastAsia="Arial" w:hAnsi="Arial" w:cs="Arial"/>
                <w:sz w:val="20"/>
                <w:szCs w:val="20"/>
              </w:rPr>
              <w:t>и та інші договори чи документи, необхідні для отримання кредитів відповідно до пп.1-4 цього рішення Загальних зборів акціонерів та рішень, прийнятих Наглядовою радою;</w:t>
            </w:r>
          </w:p>
          <w:p w:rsidR="00391B2E" w:rsidRDefault="0055239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укладати зміни та доповнення до вказаних вище договорів із банками на умовах, визначен</w:t>
            </w:r>
            <w:r>
              <w:rPr>
                <w:rFonts w:ascii="Arial" w:eastAsia="Arial" w:hAnsi="Arial" w:cs="Arial"/>
                <w:sz w:val="20"/>
                <w:szCs w:val="20"/>
              </w:rPr>
              <w:t>их в рішенні загальних зборів акціонерів, рішеннях Наглядової ради, та самостійно визначених ним інших умовах.</w:t>
            </w:r>
          </w:p>
        </w:tc>
      </w:tr>
      <w:tr w:rsidR="00391B2E">
        <w:trPr>
          <w:gridAfter w:val="1"/>
          <w:wAfter w:w="5386" w:type="dxa"/>
        </w:trPr>
        <w:tc>
          <w:tcPr>
            <w:tcW w:w="534" w:type="dxa"/>
          </w:tcPr>
          <w:p w:rsidR="00391B2E" w:rsidRDefault="0055239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16.</w:t>
            </w:r>
          </w:p>
        </w:tc>
        <w:tc>
          <w:tcPr>
            <w:tcW w:w="2760" w:type="dxa"/>
          </w:tcPr>
          <w:p w:rsidR="00391B2E" w:rsidRDefault="0055239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Про надання повноважень на вчинення правочинів із заінтересованістю.</w:t>
            </w:r>
          </w:p>
        </w:tc>
        <w:tc>
          <w:tcPr>
            <w:tcW w:w="5632" w:type="dxa"/>
          </w:tcPr>
          <w:p w:rsidR="00391B2E" w:rsidRDefault="00552398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Cхвалити вчинення Товариством, в період з 29 січня 2021 року по 29 січня 2022 року (включно) правочинів щодо вчинення яких є заінтересованість, зокрема, але не виключно, якщо предметом (характером) таких є:</w:t>
            </w:r>
          </w:p>
          <w:p w:rsidR="00391B2E" w:rsidRDefault="0055239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одержання Товариством кредитів/позик (прийняття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грошових зобов’язань), гарантій, акредитивів та/або одержання будь-яких інших банківських продуктів/послуг в банківських установах, в тому числі шляхом збільшення суми та/або продовження строку діючих договорів/угод;</w:t>
            </w:r>
          </w:p>
          <w:p w:rsidR="00391B2E" w:rsidRDefault="0055239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передача майна (майнових прав) Товар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иства, в заставу/іпотеку та/або укладання Товариством інших договорів забезпечення виконання зобов’язань (в т.ч.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договорів поруки) Товариства та/або забезпечення зобов’язань будь-яких третіх осіб;</w:t>
            </w:r>
          </w:p>
          <w:p w:rsidR="00391B2E" w:rsidRDefault="0055239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укладення договорів купівлі-продажу, поставки, підряду пр</w:t>
            </w:r>
            <w:r>
              <w:rPr>
                <w:rFonts w:ascii="Arial" w:eastAsia="Arial" w:hAnsi="Arial" w:cs="Arial"/>
                <w:sz w:val="20"/>
                <w:szCs w:val="20"/>
              </w:rPr>
              <w:t>одукції (товарів, робіт, послуг), що виробляється Товариством;</w:t>
            </w:r>
          </w:p>
          <w:p w:rsidR="00391B2E" w:rsidRDefault="0055239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укладення договорів  купівлі-продажу  рухомого та / або нерухомого майна.</w:t>
            </w:r>
          </w:p>
          <w:p w:rsidR="00391B2E" w:rsidRDefault="0055239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 цьому гранична сукупна вартість вищевказаних значних правочинів в тому числі щодо одержання Товариством кредитів/</w:t>
            </w:r>
            <w:r>
              <w:rPr>
                <w:rFonts w:ascii="Arial" w:eastAsia="Arial" w:hAnsi="Arial" w:cs="Arial"/>
                <w:sz w:val="20"/>
                <w:szCs w:val="20"/>
              </w:rPr>
              <w:t>позик (прийняття грошових зобов’язань), гарантій, акредитивів та/або одержання будь-яких інших банківських продуктів/послуг в банківських установах з усіма можливими змінами та доповненнями до них (в т.ч. до вже укладених Товариством правочинів) та передач</w:t>
            </w:r>
            <w:r>
              <w:rPr>
                <w:rFonts w:ascii="Arial" w:eastAsia="Arial" w:hAnsi="Arial" w:cs="Arial"/>
                <w:sz w:val="20"/>
                <w:szCs w:val="20"/>
              </w:rPr>
              <w:t>і майна (майнових прав) Товариства в заставу/іпотеку та/або укладення інших договорів забезпечення виконання зобов’язань (у т.ч. договорів поруки) Товариства та/або забезпечення зобов’язань будь-яких третіх осіб, з усіма можливими змінами та доповненнями д</w:t>
            </w:r>
            <w:r>
              <w:rPr>
                <w:rFonts w:ascii="Arial" w:eastAsia="Arial" w:hAnsi="Arial" w:cs="Arial"/>
                <w:sz w:val="20"/>
                <w:szCs w:val="20"/>
              </w:rPr>
              <w:t>о них (у т.ч. до вже укладених Товариством) - не може перевищувати  4 000 000 00 (чотириста мільйонів гривень) гривень.</w:t>
            </w:r>
          </w:p>
          <w:p w:rsidR="00391B2E" w:rsidRDefault="0055239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 Надати повноваження Наглядовій раді Товариства визначати та затверджувати істотні  умови  правочинів із заінтересованістю на які нада</w:t>
            </w:r>
            <w:r>
              <w:rPr>
                <w:rFonts w:ascii="Arial" w:eastAsia="Arial" w:hAnsi="Arial" w:cs="Arial"/>
                <w:sz w:val="20"/>
                <w:szCs w:val="20"/>
              </w:rPr>
              <w:t>на попередня згода в п 1. цього рішення.</w:t>
            </w:r>
          </w:p>
          <w:p w:rsidR="00391B2E" w:rsidRDefault="00391B2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391B2E" w:rsidRDefault="0055239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1. Схвалити вчинення Товариством, протягом року з дня набрання чинності цим рішенням  правочинів із заінтересованістю, сторонами яких виступають акціонери Товариства та / або афілійовані з ними особи,  предметом як</w:t>
            </w:r>
            <w:r>
              <w:rPr>
                <w:rFonts w:ascii="Arial" w:eastAsia="Arial" w:hAnsi="Arial" w:cs="Arial"/>
                <w:sz w:val="20"/>
                <w:szCs w:val="20"/>
              </w:rPr>
              <w:t>их є:</w:t>
            </w:r>
          </w:p>
          <w:p w:rsidR="00391B2E" w:rsidRDefault="0055239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одержання Товариством кредитів/позик (прийняття грошових зобов’язань), гарантій, акредитивів та/або одержання будь-яких інших банківських продуктів/послуг в тому числі шляхом збільшення суми та/або продовження строку діючих договорів/угод;</w:t>
            </w:r>
          </w:p>
          <w:p w:rsidR="00391B2E" w:rsidRDefault="0055239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переда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ча майна (майнових прав) Товариства, в заставу/іпотеку та/або укладання Товариством інших договорів забезпечення виконання зобов’язань (в т.ч.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договорів поруки) Товариства та/або забезпечення зобов’язань будь-яких третіх осіб;</w:t>
            </w:r>
          </w:p>
          <w:p w:rsidR="00391B2E" w:rsidRDefault="0055239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отримання у  забезпечення  майна (майнових прав) на користь Товариства (за зобов'язаннями товариства), у вигляді застави/іпотеки та/або укладання Товариством інших договорів забезпечення виконання зобов’язань на користь Товариства та/або забезпечення зоб</w:t>
            </w:r>
            <w:r>
              <w:rPr>
                <w:rFonts w:ascii="Arial" w:eastAsia="Arial" w:hAnsi="Arial" w:cs="Arial"/>
                <w:sz w:val="20"/>
                <w:szCs w:val="20"/>
              </w:rPr>
              <w:t>ов’язань, у яких Товариство  виступає боржником;</w:t>
            </w:r>
          </w:p>
          <w:p w:rsidR="00391B2E" w:rsidRDefault="0055239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участь у тендерах, конкурсах, торгах щодо закупівель продукції, що виробляється іншими підприємствами та/або Товариством;</w:t>
            </w:r>
          </w:p>
          <w:p w:rsidR="00391B2E" w:rsidRDefault="0055239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укладення договорів купівлі-продажу, поставки продукції (товарів, робіт, послуг),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що виробляється іншими підприємствами та/або Товариством;</w:t>
            </w:r>
          </w:p>
          <w:p w:rsidR="00391B2E" w:rsidRDefault="0055239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укладення договорів купівлі - продажу нерухомого майна, основних засобів матеріальних та нематеріальних активів. </w:t>
            </w:r>
          </w:p>
          <w:p w:rsidR="00391B2E" w:rsidRDefault="0055239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надання  поруки Товариством або отримання поруки на користь Товариства (за зобо</w:t>
            </w:r>
            <w:r>
              <w:rPr>
                <w:rFonts w:ascii="Arial" w:eastAsia="Arial" w:hAnsi="Arial" w:cs="Arial"/>
                <w:sz w:val="20"/>
                <w:szCs w:val="20"/>
              </w:rPr>
              <w:t>в'язаннями Товариства);</w:t>
            </w:r>
          </w:p>
          <w:p w:rsidR="00391B2E" w:rsidRDefault="0055239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договорів уступлення прав вимоги, факторингу, оренди,  лізингу, страхування;</w:t>
            </w:r>
          </w:p>
          <w:p w:rsidR="00391B2E" w:rsidRDefault="0055239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будь-яких інших правочинів за участю Товариства, які можуть вчинятися Товариством у ході поточної господарської діяльності, за якими акціонер або афілійована з ним особа виступає будь-якою із сторін.</w:t>
            </w:r>
          </w:p>
          <w:p w:rsidR="00391B2E" w:rsidRDefault="00391B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391B2E" w:rsidRDefault="0055239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 Гранична сукупна вартість правочинів зазначених в п.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1 цього  рішення, в тому числі з усіма можливими змінами та доповненнями до них (в т.ч. до вже укладених Товариством правочинів) - не може перевищувати 2 000 000 000 (два мільярди) гривень.</w:t>
            </w:r>
          </w:p>
          <w:p w:rsidR="00391B2E" w:rsidRDefault="00391B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391B2E" w:rsidRDefault="0055239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  Надати повноваження Наглядовій раді Товариства  визначати та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затверджувати істотні  умови  правочинів із заінтересованістю, на які надана попередня згода в п 1. цього рішення. </w:t>
            </w:r>
          </w:p>
          <w:p w:rsidR="00391B2E" w:rsidRDefault="00552398">
            <w:pPr>
              <w:ind w:firstLine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 разі, якщо всі члени Наглядової ради мають ознаки заінтересованості щодо правочинів вказаних в п.1. цього рішення, - Голова Правління сам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остійно   визначає та погоджує істотні умови таких правочинів. </w:t>
            </w:r>
          </w:p>
          <w:p w:rsidR="00391B2E" w:rsidRDefault="00391B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391B2E" w:rsidRDefault="00552398">
            <w:pPr>
              <w:rPr>
                <w:rFonts w:ascii="Arial" w:eastAsia="Arial" w:hAnsi="Arial" w:cs="Arial"/>
                <w:sz w:val="20"/>
                <w:szCs w:val="20"/>
              </w:rPr>
            </w:pPr>
            <w:bookmarkStart w:id="2" w:name="_heading=h.30j0zll" w:colFirst="0" w:colLast="0"/>
            <w:bookmarkEnd w:id="2"/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4.   Це рішення вступає в дію після реєстрації нової редакції Статуту Товариства.</w:t>
            </w:r>
          </w:p>
        </w:tc>
      </w:tr>
      <w:tr w:rsidR="00391B2E">
        <w:trPr>
          <w:gridAfter w:val="1"/>
          <w:wAfter w:w="5386" w:type="dxa"/>
        </w:trPr>
        <w:tc>
          <w:tcPr>
            <w:tcW w:w="534" w:type="dxa"/>
          </w:tcPr>
          <w:p w:rsidR="00391B2E" w:rsidRDefault="0055239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17</w:t>
            </w:r>
          </w:p>
        </w:tc>
        <w:tc>
          <w:tcPr>
            <w:tcW w:w="2760" w:type="dxa"/>
          </w:tcPr>
          <w:p w:rsidR="00391B2E" w:rsidRDefault="0055239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Про обрання</w:t>
            </w:r>
          </w:p>
          <w:p w:rsidR="00391B2E" w:rsidRDefault="0055239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Голови Правління Товариства</w:t>
            </w:r>
          </w:p>
        </w:tc>
        <w:tc>
          <w:tcPr>
            <w:tcW w:w="5632" w:type="dxa"/>
          </w:tcPr>
          <w:p w:rsidR="00391B2E" w:rsidRDefault="00552398">
            <w:pPr>
              <w:shd w:val="clear" w:color="auto" w:fill="FFFFFF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1. Обрати Головою Правління Товариства строком на один рік  </w:t>
            </w: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Шараєва Олександра Леонідовича</w:t>
            </w:r>
            <w:r>
              <w:rPr>
                <w:rFonts w:ascii="Arial" w:eastAsia="Arial" w:hAnsi="Arial" w:cs="Arial"/>
                <w:i/>
                <w:color w:val="222222"/>
                <w:sz w:val="20"/>
                <w:szCs w:val="20"/>
              </w:rPr>
              <w:t>.</w:t>
            </w:r>
          </w:p>
          <w:p w:rsidR="00391B2E" w:rsidRDefault="0055239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2. Уповноважити Голову Загальних зборів Товариства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Ковбуза Андрія Васильовича </w:t>
            </w: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на підписання контракту з новообраним Головою Правління </w:t>
            </w: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Шараєвим Олександром Леонідовичем</w:t>
            </w: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391B2E" w:rsidRDefault="00391B2E">
            <w:pPr>
              <w:shd w:val="clear" w:color="auto" w:fill="FFFFFF"/>
              <w:ind w:left="170" w:hanging="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391B2E" w:rsidRDefault="00391B2E">
            <w:pPr>
              <w:shd w:val="clear" w:color="auto" w:fill="FFFFFF"/>
              <w:spacing w:after="160"/>
              <w:ind w:left="170" w:hanging="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91B2E">
        <w:trPr>
          <w:gridAfter w:val="1"/>
          <w:wAfter w:w="5386" w:type="dxa"/>
        </w:trPr>
        <w:tc>
          <w:tcPr>
            <w:tcW w:w="534" w:type="dxa"/>
          </w:tcPr>
          <w:p w:rsidR="00391B2E" w:rsidRDefault="0055239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2760" w:type="dxa"/>
          </w:tcPr>
          <w:p w:rsidR="00391B2E" w:rsidRDefault="0055239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Про зміну основного виду діяльності Товариства та визначення інших видів діяльності Товариства</w:t>
            </w:r>
          </w:p>
        </w:tc>
        <w:tc>
          <w:tcPr>
            <w:tcW w:w="5632" w:type="dxa"/>
          </w:tcPr>
          <w:p w:rsidR="00391B2E" w:rsidRDefault="0055239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 Змінити основний вид діяльності Товариства (18.12 Друкування іншої продукції) та визначити новий основний вид економічної  діяльності Товариства: 17.12. Вироб</w:t>
            </w:r>
            <w:r>
              <w:rPr>
                <w:rFonts w:ascii="Arial" w:eastAsia="Arial" w:hAnsi="Arial" w:cs="Arial"/>
                <w:sz w:val="20"/>
                <w:szCs w:val="20"/>
              </w:rPr>
              <w:t>ництво паперу та картону.</w:t>
            </w:r>
          </w:p>
          <w:p w:rsidR="00391B2E" w:rsidRDefault="00391B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391B2E" w:rsidRDefault="0055239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 Визначити іншими видами діяльності Товариства наступні види економічної діяльності:</w:t>
            </w:r>
          </w:p>
          <w:p w:rsidR="00391B2E" w:rsidRDefault="0055239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17.21 Виробництво гофрованого паперу та картону, паперової та картонної тари;</w:t>
            </w:r>
          </w:p>
          <w:p w:rsidR="00391B2E" w:rsidRDefault="0055239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17.22 Виробництво паперових виробів господарсько-побутового та санітарно-гігієнічного призначення;</w:t>
            </w:r>
          </w:p>
          <w:p w:rsidR="00391B2E" w:rsidRDefault="0055239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17.23 Виробництво паперових канцелярських виробів;</w:t>
            </w:r>
          </w:p>
          <w:p w:rsidR="00391B2E" w:rsidRDefault="0055239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17.29 Виробництво інших виробів з паперу та картону;</w:t>
            </w:r>
          </w:p>
          <w:p w:rsidR="00391B2E" w:rsidRDefault="0055239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18.12 Друкування іншої продукції;</w:t>
            </w:r>
          </w:p>
          <w:p w:rsidR="00391B2E" w:rsidRDefault="0055239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18.13 Виготовлення </w:t>
            </w:r>
            <w:r>
              <w:rPr>
                <w:rFonts w:ascii="Arial" w:eastAsia="Arial" w:hAnsi="Arial" w:cs="Arial"/>
                <w:sz w:val="20"/>
                <w:szCs w:val="20"/>
              </w:rPr>
              <w:t>друкарських форм і надання інших поліграфічних послуг;</w:t>
            </w:r>
          </w:p>
          <w:p w:rsidR="00391B2E" w:rsidRDefault="0055239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18.14 Брошурувально-палітурна діяльність і надання пов’язаних із нею послуг;</w:t>
            </w:r>
          </w:p>
          <w:p w:rsidR="00391B2E" w:rsidRDefault="0055239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22.21 Виробництво плит, листів, труб і профілів із пластмас;</w:t>
            </w:r>
          </w:p>
          <w:p w:rsidR="00391B2E" w:rsidRDefault="0055239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22.29 Виробництво інших виробів із пластмас;</w:t>
            </w:r>
          </w:p>
          <w:p w:rsidR="00391B2E" w:rsidRDefault="0055239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28.29 Виробництво </w:t>
            </w:r>
            <w:r>
              <w:rPr>
                <w:rFonts w:ascii="Arial" w:eastAsia="Arial" w:hAnsi="Arial" w:cs="Arial"/>
                <w:sz w:val="20"/>
                <w:szCs w:val="20"/>
              </w:rPr>
              <w:t>інших машин і устатковання загального призначення, н.в.і.у.;</w:t>
            </w:r>
          </w:p>
          <w:p w:rsidR="00391B2E" w:rsidRDefault="0055239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28.95 Виробництво машин і устатковання для виготовлення паперу та картону;</w:t>
            </w:r>
          </w:p>
          <w:p w:rsidR="00391B2E" w:rsidRDefault="0055239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28.99 Виробництво інших машин і устатковання спеціального призначення, н.в.і.у.;</w:t>
            </w:r>
          </w:p>
          <w:p w:rsidR="00391B2E" w:rsidRDefault="0055239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33.12 Ремонт і технічне обслуговування машин і устатковання промислового призначення;</w:t>
            </w:r>
          </w:p>
          <w:p w:rsidR="00391B2E" w:rsidRDefault="0055239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33.14 Ремонт і технічне обслуговування електричного устатковання;</w:t>
            </w:r>
          </w:p>
          <w:p w:rsidR="00391B2E" w:rsidRDefault="0055239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33.20 Установлення та монтаж машин і устатковання; </w:t>
            </w:r>
          </w:p>
          <w:p w:rsidR="00391B2E" w:rsidRDefault="0055239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35.30 Постачання гарячої пари, гарячої води та конди</w:t>
            </w:r>
            <w:r>
              <w:rPr>
                <w:rFonts w:ascii="Arial" w:eastAsia="Arial" w:hAnsi="Arial" w:cs="Arial"/>
                <w:sz w:val="20"/>
                <w:szCs w:val="20"/>
              </w:rPr>
              <w:t>ційованого повітря;</w:t>
            </w:r>
          </w:p>
          <w:p w:rsidR="00391B2E" w:rsidRDefault="0055239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38.11  Збирання безпечних відходів;</w:t>
            </w:r>
          </w:p>
          <w:p w:rsidR="00391B2E" w:rsidRDefault="0055239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38.32  Відновлення відсортованих відходів;</w:t>
            </w:r>
          </w:p>
          <w:p w:rsidR="00391B2E" w:rsidRDefault="0055239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41.20 Будівництво житлових і нежитлових будівель;</w:t>
            </w:r>
          </w:p>
          <w:p w:rsidR="00391B2E" w:rsidRDefault="0055239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46.12 Діяльність посередників у торгівлі паливом, рудами, металами та промисловими хімічними речовинами;</w:t>
            </w:r>
          </w:p>
          <w:p w:rsidR="00391B2E" w:rsidRDefault="0055239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46</w:t>
            </w:r>
            <w:r>
              <w:rPr>
                <w:rFonts w:ascii="Arial" w:eastAsia="Arial" w:hAnsi="Arial" w:cs="Arial"/>
                <w:sz w:val="20"/>
                <w:szCs w:val="20"/>
              </w:rPr>
              <w:t>.14 Діяльність посередників у торгівлі машинами, промисловим устаткованням, суднами та літаками;</w:t>
            </w:r>
          </w:p>
          <w:p w:rsidR="00391B2E" w:rsidRDefault="0055239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46.19 Діяльність посередників у торгівлі товарами широкого асортименту;</w:t>
            </w:r>
          </w:p>
          <w:p w:rsidR="00391B2E" w:rsidRDefault="0055239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46.39 Неспеціалізована оптова торгівля продуктами харчування, напоями та тютюновими вир</w:t>
            </w:r>
            <w:r>
              <w:rPr>
                <w:rFonts w:ascii="Arial" w:eastAsia="Arial" w:hAnsi="Arial" w:cs="Arial"/>
                <w:sz w:val="20"/>
                <w:szCs w:val="20"/>
              </w:rPr>
              <w:t>обами;</w:t>
            </w:r>
          </w:p>
          <w:p w:rsidR="00391B2E" w:rsidRDefault="0055239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46.49 Оптова торгівля іншими товарами господарського призначення;</w:t>
            </w:r>
          </w:p>
          <w:p w:rsidR="00391B2E" w:rsidRDefault="0055239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46.71 Оптова торгівля твердим, рідким, газоподібним паливом і подібними продуктами;</w:t>
            </w:r>
          </w:p>
          <w:p w:rsidR="00391B2E" w:rsidRDefault="0055239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46.75 Оптова торгівля хімічними продуктами;</w:t>
            </w:r>
          </w:p>
          <w:p w:rsidR="00391B2E" w:rsidRDefault="0055239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46.76 Оптова торгівля іншими проміжними продуктами;</w:t>
            </w:r>
          </w:p>
          <w:p w:rsidR="00391B2E" w:rsidRDefault="0055239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46.</w:t>
            </w:r>
            <w:r>
              <w:rPr>
                <w:rFonts w:ascii="Arial" w:eastAsia="Arial" w:hAnsi="Arial" w:cs="Arial"/>
                <w:sz w:val="20"/>
                <w:szCs w:val="20"/>
              </w:rPr>
              <w:t>90 Неспеціалізована оптова торгівля;</w:t>
            </w:r>
          </w:p>
          <w:p w:rsidR="00391B2E" w:rsidRDefault="0055239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47.19 Інші види роздрібної торгівлі в неспеціалізованих магазинах;</w:t>
            </w:r>
          </w:p>
          <w:p w:rsidR="00391B2E" w:rsidRDefault="0055239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47.99 Інші види роздрібної торгівлі поза магазинами;</w:t>
            </w:r>
          </w:p>
          <w:p w:rsidR="00391B2E" w:rsidRDefault="0055239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49.41 Вантажний автомобільний транспорт;</w:t>
            </w:r>
          </w:p>
          <w:p w:rsidR="00391B2E" w:rsidRDefault="0055239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52.10 Складське господарство;</w:t>
            </w:r>
          </w:p>
          <w:p w:rsidR="00391B2E" w:rsidRDefault="0055239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52.21 Допоміжне обслуговуван</w:t>
            </w:r>
            <w:r>
              <w:rPr>
                <w:rFonts w:ascii="Arial" w:eastAsia="Arial" w:hAnsi="Arial" w:cs="Arial"/>
                <w:sz w:val="20"/>
                <w:szCs w:val="20"/>
              </w:rPr>
              <w:t>ня наземного транспорту;</w:t>
            </w:r>
          </w:p>
          <w:p w:rsidR="00391B2E" w:rsidRDefault="0055239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52.24 Транспортне оброблення вантажів;</w:t>
            </w:r>
          </w:p>
          <w:p w:rsidR="00391B2E" w:rsidRDefault="0055239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52.29 Інша допоміжна діяльність у сфері транспорту;</w:t>
            </w:r>
          </w:p>
          <w:p w:rsidR="00391B2E" w:rsidRDefault="0055239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53.20 Інша поштова та кур’єрська діяльність;</w:t>
            </w:r>
          </w:p>
          <w:p w:rsidR="00391B2E" w:rsidRDefault="0055239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58.19 Інші види видавничої діяльності;</w:t>
            </w:r>
          </w:p>
          <w:p w:rsidR="00391B2E" w:rsidRDefault="0055239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68.10 Купівля та продаж власного нерухомого майна;</w:t>
            </w:r>
          </w:p>
          <w:p w:rsidR="00391B2E" w:rsidRDefault="0055239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68.20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Надання в оренду й експлуатацію власного чи орендованого нерухомого майна;</w:t>
            </w:r>
          </w:p>
          <w:p w:rsidR="00391B2E" w:rsidRDefault="0055239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74.10 Спеціалізована діяльність із дизайну;</w:t>
            </w:r>
          </w:p>
          <w:p w:rsidR="00391B2E" w:rsidRDefault="0055239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77.11 Надання в оренду автомобілів і легкових автотранспортних засобів;</w:t>
            </w:r>
          </w:p>
          <w:p w:rsidR="00391B2E" w:rsidRDefault="0055239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77.12 Надання в оренду вантажних автомобілів;</w:t>
            </w:r>
          </w:p>
          <w:p w:rsidR="00391B2E" w:rsidRDefault="0055239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77.33 Надання в оренду офісних машин і устатковання, у тому числі комп’ютерів;</w:t>
            </w:r>
          </w:p>
          <w:p w:rsidR="00391B2E" w:rsidRDefault="0055239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77.39 Надання в оренду інших машин, устатковання та товарів, н.в.і.у.;</w:t>
            </w:r>
          </w:p>
          <w:p w:rsidR="00391B2E" w:rsidRDefault="0055239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77.40 Лізинг інтелектуальної власності та подібних продуктів, крім творів, захищених авторськими правами;</w:t>
            </w:r>
          </w:p>
          <w:p w:rsidR="00391B2E" w:rsidRDefault="0055239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82.11 Надання комбінованих офісних адміністративних послуг;</w:t>
            </w:r>
          </w:p>
          <w:p w:rsidR="00391B2E" w:rsidRDefault="0055239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82.92 Пакування;</w:t>
            </w:r>
          </w:p>
          <w:p w:rsidR="00391B2E" w:rsidRDefault="0055239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96.09 Надання інших індивідуальних послуг, н.в.і.у.</w:t>
            </w:r>
          </w:p>
          <w:p w:rsidR="00391B2E" w:rsidRDefault="00391B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391B2E" w:rsidRDefault="0055239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Уповноважити Голову Правління (керівника виконавчого органу) Товариства або особу, що виконує його обов’язки (з правом передор</w:t>
            </w:r>
            <w:r>
              <w:rPr>
                <w:rFonts w:ascii="Arial" w:eastAsia="Arial" w:hAnsi="Arial" w:cs="Arial"/>
                <w:sz w:val="20"/>
                <w:szCs w:val="20"/>
              </w:rPr>
              <w:t>учення іншим особам) у порядку, встановленому чинним законодавством України, здійснити  державну реєстрацію змін до видів діяльності Товариства, які містяться в Єдиному державному реєстрі юридичних осіб, фізичних осіб-підприємців та громадських формувань.</w:t>
            </w:r>
          </w:p>
        </w:tc>
        <w:tc>
          <w:tcPr>
            <w:tcW w:w="5386" w:type="dxa"/>
          </w:tcPr>
          <w:p w:rsidR="00391B2E" w:rsidRDefault="00391B2E">
            <w:pPr>
              <w:ind w:left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391B2E" w:rsidRDefault="00391B2E">
      <w:pPr>
        <w:spacing w:after="0" w:line="240" w:lineRule="auto"/>
        <w:jc w:val="center"/>
        <w:rPr>
          <w:rFonts w:ascii="Arial" w:eastAsia="Arial" w:hAnsi="Arial" w:cs="Arial"/>
        </w:rPr>
      </w:pPr>
    </w:p>
    <w:p w:rsidR="00391B2E" w:rsidRDefault="00552398">
      <w:pPr>
        <w:shd w:val="clear" w:color="auto" w:fill="FFFFFF"/>
        <w:spacing w:before="180" w:after="180"/>
        <w:jc w:val="right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Акціонер, який є власником більше 10 відсотків простих акцій ПАТ «РКФ»</w:t>
      </w:r>
    </w:p>
    <w:p w:rsidR="00391B2E" w:rsidRDefault="00552398">
      <w:pPr>
        <w:shd w:val="clear" w:color="auto" w:fill="FFFFFF"/>
        <w:spacing w:before="180" w:after="18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>Товариство з обмеженою відповідальністю «ГАЛПАК»</w:t>
      </w:r>
    </w:p>
    <w:sectPr w:rsidR="00391B2E">
      <w:pgSz w:w="16838" w:h="11906" w:orient="landscape"/>
      <w:pgMar w:top="1417" w:right="850" w:bottom="850" w:left="85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7778A"/>
    <w:multiLevelType w:val="multilevel"/>
    <w:tmpl w:val="563817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E2070"/>
    <w:multiLevelType w:val="multilevel"/>
    <w:tmpl w:val="6332DB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8894A22"/>
    <w:multiLevelType w:val="multilevel"/>
    <w:tmpl w:val="819480B8"/>
    <w:lvl w:ilvl="0">
      <w:start w:val="1"/>
      <w:numFmt w:val="decimal"/>
      <w:lvlText w:val="%1."/>
      <w:lvlJc w:val="left"/>
      <w:pPr>
        <w:ind w:left="0" w:firstLine="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A8C76BF"/>
    <w:multiLevelType w:val="multilevel"/>
    <w:tmpl w:val="AAC026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35536BC6"/>
    <w:multiLevelType w:val="multilevel"/>
    <w:tmpl w:val="8DAEB36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F6ED3"/>
    <w:multiLevelType w:val="multilevel"/>
    <w:tmpl w:val="C6D67C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41DF3E4C"/>
    <w:multiLevelType w:val="multilevel"/>
    <w:tmpl w:val="30488AE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D2C23"/>
    <w:multiLevelType w:val="multilevel"/>
    <w:tmpl w:val="01B000A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15CE9"/>
    <w:multiLevelType w:val="multilevel"/>
    <w:tmpl w:val="44DCFF84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A60D27"/>
    <w:multiLevelType w:val="multilevel"/>
    <w:tmpl w:val="8D22D6F2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E0B7F"/>
    <w:multiLevelType w:val="multilevel"/>
    <w:tmpl w:val="923EC9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3C6AA1"/>
    <w:multiLevelType w:val="multilevel"/>
    <w:tmpl w:val="BCE05B3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8"/>
  </w:num>
  <w:num w:numId="8">
    <w:abstractNumId w:val="0"/>
  </w:num>
  <w:num w:numId="9">
    <w:abstractNumId w:val="11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B2E"/>
    <w:rsid w:val="00391B2E"/>
    <w:rsid w:val="0055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62FDD-2E57-4D49-9D5E-97A22135C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5F6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7B4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5631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81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PSZvxPRzuUC3EOGuXdgGhG8Icw==">AMUW2mV9wo1BXlZafZ2AvGft78dpAaLHKtUNOStc3QxUYS/vU/Ng6gohbaoakP1ikd9UAhV5/eLxLjEjl3CEujMDH+neUNhKxTCysJlCWnY66Pa1Twa6jXSPyiGJuyJ9GP4RLNgryEVg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3320</Words>
  <Characters>18929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Веселовський Володимир</dc:creator>
  <cp:lastModifiedBy>Depo</cp:lastModifiedBy>
  <cp:revision>2</cp:revision>
  <dcterms:created xsi:type="dcterms:W3CDTF">2021-03-09T09:22:00Z</dcterms:created>
  <dcterms:modified xsi:type="dcterms:W3CDTF">2021-03-09T09:22:00Z</dcterms:modified>
</cp:coreProperties>
</file>