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DA4" w14:textId="77777777" w:rsidR="00CE3715" w:rsidRPr="00A43979" w:rsidRDefault="00CE3715" w:rsidP="00CE3715">
      <w:pPr>
        <w:contextualSpacing/>
        <w:jc w:val="center"/>
        <w:rPr>
          <w:rFonts w:ascii="Garamond" w:hAnsi="Garamond"/>
          <w:b/>
          <w:color w:val="000000"/>
          <w:spacing w:val="-6"/>
          <w:sz w:val="22"/>
          <w:szCs w:val="22"/>
        </w:rPr>
      </w:pPr>
      <w:bookmarkStart w:id="0" w:name="_GoBack"/>
      <w:bookmarkEnd w:id="0"/>
      <w:r w:rsidRPr="00A43979">
        <w:rPr>
          <w:rFonts w:ascii="Garamond" w:hAnsi="Garamond"/>
          <w:b/>
          <w:color w:val="000000"/>
          <w:spacing w:val="-6"/>
          <w:sz w:val="22"/>
          <w:szCs w:val="22"/>
        </w:rPr>
        <w:t>АКЦІОНЕРНЕ ТОВАРИСТВО</w:t>
      </w:r>
    </w:p>
    <w:p w14:paraId="73B91E23" w14:textId="77777777" w:rsidR="00CE3715" w:rsidRPr="00A43979" w:rsidRDefault="00CE3715" w:rsidP="00CE3715">
      <w:pPr>
        <w:contextualSpacing/>
        <w:jc w:val="center"/>
        <w:rPr>
          <w:rFonts w:ascii="Garamond" w:hAnsi="Garamond"/>
          <w:b/>
          <w:color w:val="000000"/>
          <w:spacing w:val="-6"/>
          <w:sz w:val="22"/>
          <w:szCs w:val="22"/>
        </w:rPr>
      </w:pPr>
      <w:r w:rsidRPr="00A43979">
        <w:rPr>
          <w:rFonts w:ascii="Garamond" w:hAnsi="Garamond"/>
          <w:b/>
          <w:color w:val="000000"/>
          <w:spacing w:val="-6"/>
          <w:sz w:val="22"/>
          <w:szCs w:val="22"/>
        </w:rPr>
        <w:t>«ХАРКІВСЬКИЙ МАШИНОБУДІВНИЙ ЗАВОД «СВІТЛО ШАХТАРЯ»</w:t>
      </w:r>
    </w:p>
    <w:p w14:paraId="1FC62273" w14:textId="77777777" w:rsidR="00CE3715" w:rsidRPr="00A43979" w:rsidRDefault="00CE3715" w:rsidP="00CE3715">
      <w:pPr>
        <w:contextualSpacing/>
        <w:jc w:val="center"/>
        <w:rPr>
          <w:rFonts w:ascii="Garamond" w:hAnsi="Garamond"/>
          <w:bCs/>
          <w:color w:val="000000"/>
          <w:spacing w:val="-6"/>
          <w:sz w:val="22"/>
          <w:szCs w:val="22"/>
        </w:rPr>
      </w:pPr>
      <w:r w:rsidRPr="00A43979">
        <w:rPr>
          <w:rFonts w:ascii="Garamond" w:hAnsi="Garamond"/>
          <w:bCs/>
          <w:color w:val="000000"/>
          <w:spacing w:val="-6"/>
          <w:sz w:val="22"/>
          <w:szCs w:val="22"/>
        </w:rPr>
        <w:t>Місцезнаходження: 61001, Харківська обл., місто Харків, вулиця Світло шахтаря, будинок 4/6</w:t>
      </w:r>
    </w:p>
    <w:p w14:paraId="0F245864" w14:textId="77777777" w:rsidR="00CE3715" w:rsidRPr="00A43979" w:rsidRDefault="00CE3715" w:rsidP="00CE3715">
      <w:pPr>
        <w:contextualSpacing/>
        <w:jc w:val="center"/>
        <w:rPr>
          <w:rFonts w:ascii="Garamond" w:hAnsi="Garamond"/>
          <w:bCs/>
          <w:color w:val="000000"/>
          <w:spacing w:val="-6"/>
          <w:sz w:val="22"/>
          <w:szCs w:val="22"/>
        </w:rPr>
      </w:pPr>
      <w:r w:rsidRPr="00A43979">
        <w:rPr>
          <w:rFonts w:ascii="Garamond" w:hAnsi="Garamond"/>
          <w:bCs/>
          <w:color w:val="000000"/>
          <w:spacing w:val="-6"/>
          <w:sz w:val="22"/>
          <w:szCs w:val="22"/>
        </w:rPr>
        <w:t>Ідентифікаційний код юридичної особи: 00165712</w:t>
      </w:r>
    </w:p>
    <w:p w14:paraId="005FBA2A" w14:textId="77777777" w:rsidR="00CE3715" w:rsidRPr="00A43979" w:rsidRDefault="00CE3715" w:rsidP="00CE3715">
      <w:pPr>
        <w:pStyle w:val="a4"/>
        <w:ind w:left="0"/>
        <w:contextualSpacing/>
        <w:jc w:val="center"/>
        <w:rPr>
          <w:rFonts w:ascii="Garamond" w:hAnsi="Garamond" w:cs="Times New Roman"/>
          <w:bCs/>
          <w:color w:val="000000"/>
          <w:spacing w:val="-6"/>
          <w:sz w:val="22"/>
          <w:szCs w:val="22"/>
          <w:lang w:val="uk-UA"/>
        </w:rPr>
      </w:pPr>
      <w:r w:rsidRPr="00A43979">
        <w:rPr>
          <w:rFonts w:ascii="Garamond" w:hAnsi="Garamond" w:cs="Times New Roman"/>
          <w:bCs/>
          <w:color w:val="000000"/>
          <w:spacing w:val="-6"/>
          <w:sz w:val="22"/>
          <w:szCs w:val="22"/>
          <w:lang w:val="uk-UA"/>
        </w:rPr>
        <w:t>(надалі – «</w:t>
      </w:r>
      <w:r w:rsidRPr="00A43979">
        <w:rPr>
          <w:rFonts w:ascii="Garamond" w:hAnsi="Garamond" w:cs="Times New Roman"/>
          <w:b/>
          <w:color w:val="000000"/>
          <w:spacing w:val="-6"/>
          <w:sz w:val="22"/>
          <w:szCs w:val="22"/>
          <w:lang w:val="uk-UA"/>
        </w:rPr>
        <w:t>Товариство</w:t>
      </w:r>
      <w:r w:rsidRPr="00A43979">
        <w:rPr>
          <w:rFonts w:ascii="Garamond" w:hAnsi="Garamond" w:cs="Times New Roman"/>
          <w:bCs/>
          <w:color w:val="000000"/>
          <w:spacing w:val="-6"/>
          <w:sz w:val="22"/>
          <w:szCs w:val="22"/>
          <w:lang w:val="uk-UA"/>
        </w:rPr>
        <w:t xml:space="preserve">» або </w:t>
      </w:r>
      <w:r w:rsidRPr="00A43979">
        <w:rPr>
          <w:rFonts w:ascii="Garamond" w:hAnsi="Garamond" w:cs="Times New Roman"/>
          <w:b/>
          <w:color w:val="000000"/>
          <w:spacing w:val="-6"/>
          <w:sz w:val="22"/>
          <w:szCs w:val="22"/>
          <w:lang w:val="uk-UA"/>
        </w:rPr>
        <w:t>АТ «СВІТЛО ШАХТАРЯ»</w:t>
      </w:r>
      <w:r w:rsidRPr="00A43979">
        <w:rPr>
          <w:rFonts w:ascii="Garamond" w:hAnsi="Garamond" w:cs="Times New Roman"/>
          <w:bCs/>
          <w:color w:val="000000"/>
          <w:spacing w:val="-6"/>
          <w:sz w:val="22"/>
          <w:szCs w:val="22"/>
          <w:lang w:val="uk-UA"/>
        </w:rPr>
        <w:t>)</w:t>
      </w:r>
    </w:p>
    <w:p w14:paraId="73759BD2" w14:textId="77777777" w:rsidR="00CE3715" w:rsidRPr="00A43979" w:rsidRDefault="00CE3715" w:rsidP="00CE3715">
      <w:pPr>
        <w:pStyle w:val="a4"/>
        <w:ind w:left="0"/>
        <w:rPr>
          <w:rFonts w:ascii="Garamond" w:hAnsi="Garamond" w:cs="Times New Roman"/>
          <w:b/>
          <w:spacing w:val="-6"/>
          <w:sz w:val="22"/>
          <w:szCs w:val="22"/>
          <w:lang w:val="uk-UA"/>
        </w:rPr>
      </w:pPr>
    </w:p>
    <w:p w14:paraId="01E7BAD6" w14:textId="77777777" w:rsidR="00CE3715" w:rsidRPr="00A43979" w:rsidRDefault="00CE3715" w:rsidP="00CE3715">
      <w:pPr>
        <w:pStyle w:val="a4"/>
        <w:contextualSpacing/>
        <w:jc w:val="center"/>
        <w:rPr>
          <w:rFonts w:ascii="Garamond" w:hAnsi="Garamond" w:cs="Times New Roman"/>
          <w:b/>
          <w:i/>
          <w:iCs/>
          <w:spacing w:val="-6"/>
          <w:sz w:val="22"/>
          <w:szCs w:val="22"/>
          <w:lang w:val="uk-UA"/>
        </w:rPr>
      </w:pPr>
      <w:r w:rsidRPr="00A43979">
        <w:rPr>
          <w:rFonts w:ascii="Garamond" w:hAnsi="Garamond" w:cs="Times New Roman"/>
          <w:b/>
          <w:i/>
          <w:iCs/>
          <w:spacing w:val="-6"/>
          <w:sz w:val="22"/>
          <w:szCs w:val="22"/>
          <w:lang w:val="uk-UA"/>
        </w:rPr>
        <w:t xml:space="preserve">повідомляє про дистанційне проведення </w:t>
      </w:r>
      <w:r w:rsidRPr="00A43979">
        <w:rPr>
          <w:rFonts w:ascii="Garamond" w:hAnsi="Garamond" w:cs="Times New Roman"/>
          <w:b/>
          <w:i/>
          <w:iCs/>
          <w:spacing w:val="-6"/>
          <w:sz w:val="22"/>
          <w:szCs w:val="22"/>
          <w:lang w:val="ru-UA"/>
        </w:rPr>
        <w:t>0</w:t>
      </w:r>
      <w:r>
        <w:rPr>
          <w:rFonts w:ascii="Garamond" w:hAnsi="Garamond" w:cs="Times New Roman"/>
          <w:b/>
          <w:i/>
          <w:iCs/>
          <w:spacing w:val="-6"/>
          <w:sz w:val="22"/>
          <w:szCs w:val="22"/>
          <w:lang w:val="ru-UA"/>
        </w:rPr>
        <w:t>8</w:t>
      </w:r>
      <w:r w:rsidRPr="00A43979">
        <w:rPr>
          <w:rFonts w:ascii="Garamond" w:hAnsi="Garamond" w:cs="Times New Roman"/>
          <w:b/>
          <w:i/>
          <w:iCs/>
          <w:spacing w:val="-6"/>
          <w:sz w:val="22"/>
          <w:szCs w:val="22"/>
          <w:lang w:val="uk-UA"/>
        </w:rPr>
        <w:t xml:space="preserve"> квітня 2021 року (дата завершення голосування) </w:t>
      </w:r>
      <w:r w:rsidRPr="00A43979">
        <w:rPr>
          <w:rFonts w:ascii="Garamond" w:hAnsi="Garamond" w:cs="Times New Roman"/>
          <w:b/>
          <w:i/>
          <w:iCs/>
          <w:color w:val="000000"/>
          <w:spacing w:val="-6"/>
          <w:sz w:val="22"/>
          <w:szCs w:val="22"/>
          <w:lang w:val="uk-UA"/>
        </w:rPr>
        <w:t xml:space="preserve">позачергових Загальних зборів Товариства </w:t>
      </w:r>
      <w:bookmarkStart w:id="1" w:name="_Hlk65850511"/>
      <w:r w:rsidRPr="00A43979">
        <w:rPr>
          <w:rFonts w:ascii="Garamond" w:hAnsi="Garamond" w:cs="Times New Roman"/>
          <w:b/>
          <w:i/>
          <w:iCs/>
          <w:spacing w:val="-6"/>
          <w:sz w:val="22"/>
          <w:szCs w:val="22"/>
          <w:lang w:val="uk-UA"/>
        </w:rPr>
        <w:t>відповідно до ч.5 ст. 47 Закону України «Про акціонерні товариства»</w:t>
      </w:r>
    </w:p>
    <w:bookmarkEnd w:id="1"/>
    <w:p w14:paraId="31F742B0" w14:textId="77777777" w:rsidR="00CE3715" w:rsidRPr="00A43979" w:rsidRDefault="00CE3715" w:rsidP="00CE3715">
      <w:pPr>
        <w:pStyle w:val="a4"/>
        <w:ind w:left="0"/>
        <w:contextualSpacing/>
        <w:jc w:val="center"/>
        <w:rPr>
          <w:rFonts w:ascii="Garamond" w:hAnsi="Garamond" w:cs="Times New Roman"/>
          <w:b/>
          <w:color w:val="000000"/>
          <w:spacing w:val="-6"/>
          <w:sz w:val="22"/>
          <w:szCs w:val="22"/>
          <w:lang w:val="uk-UA"/>
        </w:rPr>
      </w:pPr>
    </w:p>
    <w:p w14:paraId="75C63473" w14:textId="77777777" w:rsidR="00CE3715" w:rsidRPr="00A43979" w:rsidRDefault="00CE3715" w:rsidP="00CE3715">
      <w:pPr>
        <w:jc w:val="center"/>
        <w:rPr>
          <w:rFonts w:ascii="Garamond" w:hAnsi="Garamond"/>
          <w:color w:val="000000"/>
          <w:spacing w:val="-6"/>
          <w:sz w:val="22"/>
          <w:szCs w:val="22"/>
        </w:rPr>
      </w:pPr>
      <w:r w:rsidRPr="00A43979">
        <w:rPr>
          <w:rFonts w:ascii="Garamond" w:hAnsi="Garamond"/>
          <w:color w:val="000000"/>
          <w:spacing w:val="-6"/>
          <w:sz w:val="22"/>
          <w:szCs w:val="22"/>
        </w:rPr>
        <w:t>ПОРЯДОК ДЕННИЙ</w:t>
      </w:r>
    </w:p>
    <w:p w14:paraId="4FD720CE" w14:textId="77777777" w:rsidR="00CE3715" w:rsidRPr="00A43979" w:rsidRDefault="00CE3715" w:rsidP="00CE3715">
      <w:pPr>
        <w:spacing w:before="240"/>
        <w:jc w:val="center"/>
        <w:rPr>
          <w:rFonts w:ascii="Garamond" w:hAnsi="Garamond"/>
          <w:color w:val="000000"/>
          <w:spacing w:val="-6"/>
          <w:sz w:val="22"/>
          <w:szCs w:val="22"/>
        </w:rPr>
      </w:pPr>
      <w:r w:rsidRPr="00A43979">
        <w:rPr>
          <w:rFonts w:ascii="Garamond" w:hAnsi="Garamond"/>
          <w:color w:val="000000"/>
          <w:spacing w:val="-6"/>
          <w:sz w:val="22"/>
          <w:szCs w:val="22"/>
        </w:rPr>
        <w:t>(перелік питань разом з проектом рішень щодо кожного з питань, включених до порядку денного):</w:t>
      </w:r>
    </w:p>
    <w:tbl>
      <w:tblPr>
        <w:tblStyle w:val="ac"/>
        <w:tblW w:w="9493" w:type="dxa"/>
        <w:tblLook w:val="04A0" w:firstRow="1" w:lastRow="0" w:firstColumn="1" w:lastColumn="0" w:noHBand="0" w:noVBand="1"/>
      </w:tblPr>
      <w:tblGrid>
        <w:gridCol w:w="507"/>
        <w:gridCol w:w="3052"/>
        <w:gridCol w:w="5934"/>
      </w:tblGrid>
      <w:tr w:rsidR="00CE3715" w:rsidRPr="00A43979" w14:paraId="31354915" w14:textId="77777777" w:rsidTr="008C5706">
        <w:tc>
          <w:tcPr>
            <w:tcW w:w="507" w:type="dxa"/>
            <w:shd w:val="clear" w:color="auto" w:fill="D9D9D9" w:themeFill="background1" w:themeFillShade="D9"/>
            <w:vAlign w:val="center"/>
          </w:tcPr>
          <w:p w14:paraId="0B125096" w14:textId="77777777" w:rsidR="00CE3715" w:rsidRPr="00A43979" w:rsidRDefault="00CE3715" w:rsidP="008C5706">
            <w:pPr>
              <w:jc w:val="center"/>
              <w:rPr>
                <w:rFonts w:ascii="Garamond" w:hAnsi="Garamond"/>
                <w:b/>
                <w:spacing w:val="-6"/>
                <w:sz w:val="22"/>
                <w:szCs w:val="22"/>
              </w:rPr>
            </w:pPr>
            <w:r w:rsidRPr="00A43979">
              <w:rPr>
                <w:rFonts w:ascii="Garamond" w:hAnsi="Garamond"/>
                <w:b/>
                <w:spacing w:val="-6"/>
                <w:sz w:val="22"/>
                <w:szCs w:val="22"/>
              </w:rPr>
              <w:t>№</w:t>
            </w:r>
          </w:p>
        </w:tc>
        <w:tc>
          <w:tcPr>
            <w:tcW w:w="3052" w:type="dxa"/>
            <w:shd w:val="clear" w:color="auto" w:fill="D9D9D9" w:themeFill="background1" w:themeFillShade="D9"/>
            <w:vAlign w:val="center"/>
          </w:tcPr>
          <w:p w14:paraId="58AA447C" w14:textId="77777777" w:rsidR="00CE3715" w:rsidRPr="00A43979" w:rsidRDefault="00CE3715" w:rsidP="008C5706">
            <w:pPr>
              <w:jc w:val="center"/>
              <w:rPr>
                <w:rFonts w:ascii="Garamond" w:hAnsi="Garamond"/>
                <w:b/>
                <w:spacing w:val="-6"/>
                <w:sz w:val="22"/>
                <w:szCs w:val="22"/>
              </w:rPr>
            </w:pPr>
            <w:r w:rsidRPr="00A43979">
              <w:rPr>
                <w:rFonts w:ascii="Garamond" w:hAnsi="Garamond"/>
                <w:b/>
                <w:spacing w:val="-6"/>
                <w:sz w:val="22"/>
                <w:szCs w:val="22"/>
              </w:rPr>
              <w:t>Назва питання</w:t>
            </w:r>
          </w:p>
        </w:tc>
        <w:tc>
          <w:tcPr>
            <w:tcW w:w="5934" w:type="dxa"/>
            <w:shd w:val="clear" w:color="auto" w:fill="D9D9D9" w:themeFill="background1" w:themeFillShade="D9"/>
          </w:tcPr>
          <w:p w14:paraId="17123984" w14:textId="77777777" w:rsidR="00CE3715" w:rsidRPr="00A43979" w:rsidRDefault="00CE3715" w:rsidP="008C5706">
            <w:pPr>
              <w:jc w:val="center"/>
              <w:rPr>
                <w:rFonts w:ascii="Garamond" w:hAnsi="Garamond"/>
                <w:b/>
                <w:spacing w:val="-6"/>
                <w:sz w:val="22"/>
                <w:szCs w:val="22"/>
              </w:rPr>
            </w:pPr>
            <w:r w:rsidRPr="00A43979">
              <w:rPr>
                <w:rFonts w:ascii="Garamond" w:hAnsi="Garamond"/>
                <w:b/>
                <w:spacing w:val="-6"/>
                <w:sz w:val="22"/>
                <w:szCs w:val="22"/>
              </w:rPr>
              <w:t xml:space="preserve">Проект рішення </w:t>
            </w:r>
          </w:p>
        </w:tc>
      </w:tr>
      <w:tr w:rsidR="00CE3715" w:rsidRPr="00A43979" w14:paraId="1CCB8F57" w14:textId="77777777" w:rsidTr="008C5706">
        <w:tc>
          <w:tcPr>
            <w:tcW w:w="507" w:type="dxa"/>
            <w:vAlign w:val="center"/>
          </w:tcPr>
          <w:p w14:paraId="64417315" w14:textId="77777777" w:rsidR="00CE3715" w:rsidRPr="00A43979" w:rsidRDefault="00CE3715" w:rsidP="008C5706">
            <w:pPr>
              <w:jc w:val="center"/>
              <w:rPr>
                <w:rFonts w:ascii="Garamond" w:hAnsi="Garamond"/>
                <w:spacing w:val="-6"/>
                <w:sz w:val="22"/>
                <w:szCs w:val="22"/>
              </w:rPr>
            </w:pPr>
            <w:r w:rsidRPr="00A43979">
              <w:rPr>
                <w:rFonts w:ascii="Garamond" w:hAnsi="Garamond"/>
                <w:color w:val="000000"/>
                <w:spacing w:val="-6"/>
                <w:sz w:val="22"/>
                <w:szCs w:val="22"/>
                <w:lang w:val="ru-UA"/>
              </w:rPr>
              <w:t>1</w:t>
            </w:r>
            <w:r w:rsidRPr="00A43979">
              <w:rPr>
                <w:rFonts w:ascii="Garamond" w:hAnsi="Garamond"/>
                <w:color w:val="000000"/>
                <w:spacing w:val="-6"/>
                <w:sz w:val="22"/>
                <w:szCs w:val="22"/>
              </w:rPr>
              <w:t>.</w:t>
            </w:r>
          </w:p>
        </w:tc>
        <w:tc>
          <w:tcPr>
            <w:tcW w:w="3052" w:type="dxa"/>
            <w:vAlign w:val="center"/>
          </w:tcPr>
          <w:p w14:paraId="3DE8DF45" w14:textId="77777777" w:rsidR="00CE3715" w:rsidRPr="00A43979" w:rsidRDefault="00CE3715" w:rsidP="008C5706">
            <w:pPr>
              <w:rPr>
                <w:rFonts w:ascii="Garamond" w:hAnsi="Garamond"/>
                <w:spacing w:val="-6"/>
                <w:sz w:val="22"/>
                <w:szCs w:val="22"/>
                <w:lang w:val="ru-UA"/>
              </w:rPr>
            </w:pPr>
            <w:r w:rsidRPr="00A43979">
              <w:rPr>
                <w:rFonts w:ascii="Garamond" w:hAnsi="Garamond"/>
                <w:spacing w:val="-6"/>
                <w:sz w:val="22"/>
                <w:szCs w:val="22"/>
              </w:rPr>
              <w:t>Надання Товариством поруки та укладення інших значних правочинів у зв’язку з випуском облігацій на міжнародних ринках капіталу</w:t>
            </w:r>
            <w:r w:rsidRPr="00A43979">
              <w:rPr>
                <w:rFonts w:ascii="Garamond" w:hAnsi="Garamond"/>
                <w:spacing w:val="-6"/>
                <w:sz w:val="22"/>
                <w:szCs w:val="22"/>
                <w:lang w:val="ru-UA"/>
              </w:rPr>
              <w:t>.</w:t>
            </w:r>
          </w:p>
        </w:tc>
        <w:tc>
          <w:tcPr>
            <w:tcW w:w="5934" w:type="dxa"/>
            <w:vAlign w:val="center"/>
          </w:tcPr>
          <w:p w14:paraId="29CA3076" w14:textId="548B7D70" w:rsidR="00CE3715" w:rsidRPr="00A43979" w:rsidRDefault="00CE3715" w:rsidP="00CE3715">
            <w:pPr>
              <w:numPr>
                <w:ilvl w:val="1"/>
                <w:numId w:val="31"/>
              </w:numPr>
              <w:autoSpaceDE w:val="0"/>
              <w:autoSpaceDN w:val="0"/>
              <w:spacing w:before="240" w:after="240"/>
              <w:ind w:left="567" w:hanging="567"/>
              <w:jc w:val="both"/>
              <w:rPr>
                <w:rFonts w:ascii="Garamond" w:hAnsi="Garamond"/>
                <w:bCs/>
                <w:spacing w:val="-6"/>
                <w:sz w:val="22"/>
                <w:szCs w:val="22"/>
                <w:lang w:eastAsia="ru-RU"/>
              </w:rPr>
            </w:pPr>
            <w:r w:rsidRPr="00A43979">
              <w:rPr>
                <w:rFonts w:ascii="Garamond" w:hAnsi="Garamond"/>
                <w:bCs/>
                <w:spacing w:val="-6"/>
                <w:sz w:val="22"/>
                <w:szCs w:val="22"/>
                <w:lang w:eastAsia="ru-RU"/>
              </w:rPr>
              <w:t xml:space="preserve">Надати згоду на вчинення Товариством значних правочинів щодо </w:t>
            </w:r>
            <w:r w:rsidRPr="00A43979">
              <w:rPr>
                <w:rFonts w:ascii="Garamond" w:hAnsi="Garamond"/>
                <w:spacing w:val="-6"/>
                <w:sz w:val="22"/>
                <w:szCs w:val="22"/>
                <w:lang w:eastAsia="ru-RU"/>
              </w:rPr>
              <w:t>надання Товариством поруки та/або правочинів щодо внесення змін до існуючих договорів поруки та/або щодо підтвердження поруки,</w:t>
            </w:r>
            <w:r w:rsidRPr="00A43979" w:rsidDel="00A433F4">
              <w:rPr>
                <w:rFonts w:ascii="Garamond" w:hAnsi="Garamond"/>
                <w:spacing w:val="-6"/>
                <w:sz w:val="22"/>
                <w:szCs w:val="22"/>
                <w:lang w:eastAsia="ru-RU"/>
              </w:rPr>
              <w:t xml:space="preserve"> </w:t>
            </w:r>
            <w:r w:rsidRPr="00A43979">
              <w:rPr>
                <w:rFonts w:ascii="Garamond" w:hAnsi="Garamond"/>
                <w:spacing w:val="-6"/>
                <w:sz w:val="22"/>
                <w:szCs w:val="22"/>
                <w:lang w:eastAsia="ru-RU"/>
              </w:rPr>
              <w:t>з метою забезпечення виконання зобов’язань, в тому числі зі сплати будь-яких сум, що підлягають або можуть підлягати сплаті (а) DTEK FINANCE PLC, юридичною особою, що створена за законодавством Англії та Уельсу, реєстраційний номер 08422508 (надалі –</w:t>
            </w:r>
            <w:r w:rsidRPr="00A43979">
              <w:rPr>
                <w:rFonts w:ascii="Garamond" w:hAnsi="Garamond"/>
                <w:b/>
                <w:spacing w:val="-6"/>
                <w:sz w:val="22"/>
                <w:szCs w:val="22"/>
                <w:lang w:eastAsia="ru-RU"/>
              </w:rPr>
              <w:t xml:space="preserve"> «Емітент»</w:t>
            </w:r>
            <w:r w:rsidRPr="00A43979">
              <w:rPr>
                <w:rFonts w:ascii="Garamond" w:hAnsi="Garamond"/>
                <w:spacing w:val="-6"/>
                <w:sz w:val="22"/>
                <w:szCs w:val="22"/>
                <w:lang w:eastAsia="ru-RU"/>
              </w:rPr>
              <w:t xml:space="preserve">), та/або (б) DTEK TRADING LIMITED, юридичною особою, що створена за законодавством Республіки Кіпр, реєстраційний номер HE 245132, та/або DTEK TRADING SA, юридичною особою, що створена за законодавством Швейцарії, реєстраційний номер </w:t>
            </w:r>
            <w:r w:rsidR="00436112" w:rsidRPr="00436112">
              <w:rPr>
                <w:rFonts w:ascii="Garamond" w:hAnsi="Garamond"/>
                <w:spacing w:val="-6"/>
                <w:sz w:val="22"/>
                <w:szCs w:val="22"/>
                <w:lang w:eastAsia="ru-RU"/>
              </w:rPr>
              <w:t>CHE-384.778.207</w:t>
            </w:r>
            <w:r w:rsidRPr="00A43979">
              <w:rPr>
                <w:rFonts w:ascii="Garamond" w:hAnsi="Garamond"/>
                <w:spacing w:val="-6"/>
                <w:sz w:val="22"/>
                <w:szCs w:val="22"/>
                <w:lang w:eastAsia="ru-RU"/>
              </w:rPr>
              <w:t>, та/або DTEK INVESTMENTS LIMITED, юридичною особою, що створена за законодавством Англії та Уельсу, реєстраційний номер 08422516, та/або DTEK HOLDINGS LIMITED, юридичною особою, що створена за законодавством Республіки Кіпр, реєстраційний номер HE 174860, та/або DTEK ENERGY B.V., юридичною особою, що створена за законодавством Нідерландів, реєстраційний номер 34334895 (надалі – «</w:t>
            </w:r>
            <w:r w:rsidRPr="00A43979">
              <w:rPr>
                <w:rFonts w:ascii="Garamond" w:hAnsi="Garamond"/>
                <w:b/>
                <w:spacing w:val="-6"/>
                <w:sz w:val="22"/>
                <w:szCs w:val="22"/>
                <w:lang w:eastAsia="ru-RU"/>
              </w:rPr>
              <w:t>DEBV</w:t>
            </w:r>
            <w:r w:rsidRPr="00A43979">
              <w:rPr>
                <w:rFonts w:ascii="Garamond" w:hAnsi="Garamond"/>
                <w:spacing w:val="-6"/>
                <w:sz w:val="22"/>
                <w:szCs w:val="22"/>
                <w:lang w:eastAsia="ru-RU"/>
              </w:rPr>
              <w:t>») та/або (в) будь-якими</w:t>
            </w:r>
            <w:r w:rsidRPr="00A43979">
              <w:rPr>
                <w:rFonts w:ascii="Garamond" w:hAnsi="Garamond"/>
                <w:b/>
                <w:spacing w:val="-6"/>
                <w:sz w:val="22"/>
                <w:szCs w:val="22"/>
                <w:lang w:eastAsia="ru-RU"/>
              </w:rPr>
              <w:t xml:space="preserve"> </w:t>
            </w:r>
            <w:r w:rsidRPr="00A43979">
              <w:rPr>
                <w:rFonts w:ascii="Garamond" w:hAnsi="Garamond"/>
                <w:spacing w:val="-6"/>
                <w:sz w:val="22"/>
                <w:szCs w:val="22"/>
                <w:lang w:eastAsia="ru-RU"/>
              </w:rPr>
              <w:t xml:space="preserve">іншими юридичними особами, незалежно від юрисдикції їх створення чи реєстрації, в яких DEBV володіє (прямо або опосередковано) акціями та/або частками та/або корпоративними правами у розмірі, що становить більше 50% статутного капіталу (надалі </w:t>
            </w:r>
            <w:r w:rsidRPr="00A43979">
              <w:rPr>
                <w:rFonts w:ascii="Garamond" w:hAnsi="Garamond"/>
                <w:b/>
                <w:spacing w:val="-6"/>
                <w:sz w:val="22"/>
                <w:szCs w:val="22"/>
                <w:lang w:eastAsia="ru-RU"/>
              </w:rPr>
              <w:t xml:space="preserve">– </w:t>
            </w:r>
            <w:r w:rsidRPr="00A43979">
              <w:rPr>
                <w:rFonts w:ascii="Garamond" w:hAnsi="Garamond"/>
                <w:spacing w:val="-6"/>
                <w:sz w:val="22"/>
                <w:szCs w:val="22"/>
                <w:lang w:eastAsia="ru-RU"/>
              </w:rPr>
              <w:t>юридичні особи, зареєстровані в Україні –</w:t>
            </w:r>
            <w:r w:rsidRPr="00A43979">
              <w:rPr>
                <w:rFonts w:ascii="Garamond" w:hAnsi="Garamond"/>
                <w:b/>
                <w:spacing w:val="-6"/>
                <w:sz w:val="22"/>
                <w:szCs w:val="22"/>
                <w:lang w:eastAsia="ru-RU"/>
              </w:rPr>
              <w:t xml:space="preserve"> «Поручителі»</w:t>
            </w:r>
            <w:r w:rsidRPr="00A43979">
              <w:rPr>
                <w:rFonts w:ascii="Garamond" w:hAnsi="Garamond"/>
                <w:spacing w:val="-6"/>
                <w:sz w:val="22"/>
                <w:szCs w:val="22"/>
                <w:lang w:eastAsia="ru-RU"/>
              </w:rPr>
              <w:t>, та юридичні особи, зареєстровані в інших країнах – «</w:t>
            </w:r>
            <w:r w:rsidRPr="00A43979">
              <w:rPr>
                <w:rFonts w:ascii="Garamond" w:hAnsi="Garamond"/>
                <w:b/>
                <w:spacing w:val="-6"/>
                <w:sz w:val="22"/>
                <w:szCs w:val="22"/>
                <w:lang w:eastAsia="ru-RU"/>
              </w:rPr>
              <w:t>Гаранти</w:t>
            </w:r>
            <w:r w:rsidRPr="00A43979">
              <w:rPr>
                <w:rFonts w:ascii="Garamond" w:hAnsi="Garamond"/>
                <w:spacing w:val="-6"/>
                <w:sz w:val="22"/>
                <w:szCs w:val="22"/>
                <w:lang w:eastAsia="ru-RU"/>
              </w:rPr>
              <w:t xml:space="preserve">») (надалі </w:t>
            </w:r>
            <w:r w:rsidRPr="00A43979">
              <w:rPr>
                <w:rFonts w:ascii="Garamond" w:hAnsi="Garamond"/>
                <w:bCs/>
                <w:spacing w:val="-6"/>
                <w:sz w:val="22"/>
                <w:szCs w:val="22"/>
                <w:lang w:eastAsia="ru-RU"/>
              </w:rPr>
              <w:t>DEBV, Емітент, Поручителі, Гаранти разом - «</w:t>
            </w:r>
            <w:r w:rsidRPr="00A43979">
              <w:rPr>
                <w:rFonts w:ascii="Garamond" w:hAnsi="Garamond"/>
                <w:b/>
                <w:bCs/>
                <w:spacing w:val="-6"/>
                <w:sz w:val="22"/>
                <w:szCs w:val="22"/>
                <w:lang w:eastAsia="ru-RU"/>
              </w:rPr>
              <w:t>Група</w:t>
            </w:r>
            <w:r w:rsidRPr="00A43979">
              <w:rPr>
                <w:rFonts w:ascii="Garamond" w:hAnsi="Garamond"/>
                <w:bCs/>
                <w:spacing w:val="-6"/>
                <w:sz w:val="22"/>
                <w:szCs w:val="22"/>
                <w:lang w:eastAsia="ru-RU"/>
              </w:rPr>
              <w:t xml:space="preserve"> </w:t>
            </w:r>
            <w:r w:rsidRPr="00A43979">
              <w:rPr>
                <w:rFonts w:ascii="Garamond" w:hAnsi="Garamond"/>
                <w:b/>
                <w:bCs/>
                <w:spacing w:val="-6"/>
                <w:sz w:val="22"/>
                <w:szCs w:val="22"/>
                <w:lang w:eastAsia="ru-RU"/>
              </w:rPr>
              <w:t>DEBV</w:t>
            </w:r>
            <w:r w:rsidRPr="00A43979">
              <w:rPr>
                <w:rFonts w:ascii="Garamond" w:hAnsi="Garamond"/>
                <w:bCs/>
                <w:spacing w:val="-6"/>
                <w:sz w:val="22"/>
                <w:szCs w:val="22"/>
                <w:lang w:eastAsia="ru-RU"/>
              </w:rPr>
              <w:t>»</w:t>
            </w:r>
            <w:r w:rsidRPr="00A43979">
              <w:rPr>
                <w:rFonts w:ascii="Garamond" w:hAnsi="Garamond"/>
                <w:spacing w:val="-6"/>
                <w:sz w:val="22"/>
                <w:szCs w:val="22"/>
                <w:lang w:eastAsia="ru-RU"/>
              </w:rPr>
              <w:t>), за:</w:t>
            </w:r>
          </w:p>
          <w:p w14:paraId="4CB1E2E7" w14:textId="77777777" w:rsidR="00CE3715" w:rsidRPr="00A43979" w:rsidRDefault="00CE3715" w:rsidP="00CE3715">
            <w:pPr>
              <w:pStyle w:val="a4"/>
              <w:numPr>
                <w:ilvl w:val="1"/>
                <w:numId w:val="34"/>
              </w:numPr>
              <w:autoSpaceDE w:val="0"/>
              <w:autoSpaceDN w:val="0"/>
              <w:spacing w:before="240" w:after="240"/>
              <w:ind w:left="1287" w:hanging="709"/>
              <w:jc w:val="both"/>
              <w:rPr>
                <w:rFonts w:ascii="Garamond" w:hAnsi="Garamond"/>
                <w:bCs/>
                <w:i/>
                <w:spacing w:val="-6"/>
                <w:sz w:val="22"/>
                <w:szCs w:val="22"/>
                <w:lang w:val="uk-UA" w:eastAsia="ru-RU"/>
              </w:rPr>
            </w:pPr>
            <w:r w:rsidRPr="00A43979">
              <w:rPr>
                <w:rFonts w:ascii="Garamond" w:hAnsi="Garamond"/>
                <w:bCs/>
                <w:i/>
                <w:spacing w:val="-6"/>
                <w:sz w:val="22"/>
                <w:szCs w:val="22"/>
                <w:lang w:val="uk-UA" w:eastAsia="ru-RU"/>
              </w:rPr>
              <w:t>борговими цінними паперами (облігаціями) (надалі – «</w:t>
            </w:r>
            <w:r w:rsidRPr="00A43979">
              <w:rPr>
                <w:rFonts w:ascii="Garamond" w:hAnsi="Garamond"/>
                <w:b/>
                <w:bCs/>
                <w:i/>
                <w:spacing w:val="-6"/>
                <w:sz w:val="22"/>
                <w:szCs w:val="22"/>
                <w:lang w:val="uk-UA" w:eastAsia="ru-RU"/>
              </w:rPr>
              <w:t>Нові Облігації</w:t>
            </w:r>
            <w:r w:rsidRPr="00A43979">
              <w:rPr>
                <w:rFonts w:ascii="Garamond" w:hAnsi="Garamond"/>
                <w:bCs/>
                <w:i/>
                <w:spacing w:val="-6"/>
                <w:sz w:val="22"/>
                <w:szCs w:val="22"/>
                <w:lang w:val="uk-UA" w:eastAsia="ru-RU"/>
              </w:rPr>
              <w:t xml:space="preserve">»), які будуть  випущені та   розміщені Емітентом  на міжнародних ринках капіталу на загальну основну суму, що не перевищує 1,7 млрд.  доларів США,  зі ставкою купону, що не перевищує 7,5% річних, відповідно до договору обслуговування випуску </w:t>
            </w:r>
            <w:r w:rsidRPr="00A43979">
              <w:rPr>
                <w:rFonts w:ascii="Garamond" w:hAnsi="Garamond"/>
                <w:i/>
                <w:spacing w:val="-6"/>
                <w:sz w:val="22"/>
                <w:szCs w:val="22"/>
                <w:lang w:val="uk-UA" w:eastAsia="ru-RU"/>
              </w:rPr>
              <w:t>(</w:t>
            </w:r>
            <w:r w:rsidRPr="00A43979">
              <w:rPr>
                <w:rFonts w:ascii="Garamond" w:hAnsi="Garamond"/>
                <w:i/>
                <w:spacing w:val="-6"/>
                <w:sz w:val="22"/>
                <w:szCs w:val="22"/>
                <w:lang w:val="en-US" w:eastAsia="ru-RU"/>
              </w:rPr>
              <w:t>Indenture</w:t>
            </w:r>
            <w:r w:rsidRPr="00A43979">
              <w:rPr>
                <w:rFonts w:ascii="Garamond" w:hAnsi="Garamond"/>
                <w:i/>
                <w:spacing w:val="-6"/>
                <w:sz w:val="22"/>
                <w:szCs w:val="22"/>
                <w:lang w:val="uk-UA" w:eastAsia="ru-RU"/>
              </w:rPr>
              <w:t>) між, із-поміж інших, Товариством та/або довірчим управителем (</w:t>
            </w:r>
            <w:r w:rsidRPr="00A43979">
              <w:rPr>
                <w:rFonts w:ascii="Garamond" w:hAnsi="Garamond"/>
                <w:i/>
                <w:spacing w:val="-6"/>
                <w:sz w:val="22"/>
                <w:szCs w:val="22"/>
                <w:lang w:val="en-US" w:eastAsia="ru-RU"/>
              </w:rPr>
              <w:t>trustee</w:t>
            </w:r>
            <w:r w:rsidRPr="00A43979">
              <w:rPr>
                <w:rFonts w:ascii="Garamond" w:hAnsi="Garamond"/>
                <w:i/>
                <w:spacing w:val="-6"/>
                <w:sz w:val="22"/>
                <w:szCs w:val="22"/>
                <w:lang w:val="uk-UA" w:eastAsia="ru-RU"/>
              </w:rPr>
              <w:t xml:space="preserve">) та/або будь-якими іншими компаніями, які входять до Групи </w:t>
            </w:r>
            <w:r w:rsidRPr="00A43979">
              <w:rPr>
                <w:rFonts w:ascii="Garamond" w:hAnsi="Garamond"/>
                <w:i/>
                <w:spacing w:val="-6"/>
                <w:sz w:val="22"/>
                <w:szCs w:val="22"/>
                <w:lang w:eastAsia="ru-RU"/>
              </w:rPr>
              <w:t>DEBV</w:t>
            </w:r>
            <w:r w:rsidRPr="00A43979">
              <w:rPr>
                <w:rFonts w:ascii="Garamond" w:hAnsi="Garamond"/>
                <w:i/>
                <w:spacing w:val="-6"/>
                <w:sz w:val="22"/>
                <w:szCs w:val="22"/>
                <w:lang w:val="uk-UA" w:eastAsia="ru-RU"/>
              </w:rPr>
              <w:t xml:space="preserve"> </w:t>
            </w:r>
            <w:r w:rsidRPr="00A43979">
              <w:rPr>
                <w:rFonts w:ascii="Garamond" w:hAnsi="Garamond"/>
                <w:bCs/>
                <w:i/>
                <w:spacing w:val="-6"/>
                <w:sz w:val="22"/>
                <w:szCs w:val="22"/>
                <w:lang w:val="uk-UA" w:eastAsia="ru-RU"/>
              </w:rPr>
              <w:t>(надалі – «</w:t>
            </w:r>
            <w:r w:rsidRPr="00A43979">
              <w:rPr>
                <w:rFonts w:ascii="Garamond" w:hAnsi="Garamond"/>
                <w:b/>
                <w:bCs/>
                <w:i/>
                <w:spacing w:val="-6"/>
                <w:sz w:val="22"/>
                <w:szCs w:val="22"/>
                <w:lang w:val="uk-UA" w:eastAsia="ru-RU"/>
              </w:rPr>
              <w:t>Договір обслуговування випуску</w:t>
            </w:r>
            <w:r w:rsidRPr="00A43979">
              <w:rPr>
                <w:rFonts w:ascii="Garamond" w:hAnsi="Garamond"/>
                <w:bCs/>
                <w:i/>
                <w:spacing w:val="-6"/>
                <w:sz w:val="22"/>
                <w:szCs w:val="22"/>
                <w:lang w:val="uk-UA" w:eastAsia="ru-RU"/>
              </w:rPr>
              <w:t>»); та/або</w:t>
            </w:r>
          </w:p>
          <w:p w14:paraId="5F5A8F0F" w14:textId="77777777" w:rsidR="00CE3715" w:rsidRPr="00A43979" w:rsidRDefault="00CE3715" w:rsidP="00CE3715">
            <w:pPr>
              <w:pStyle w:val="a4"/>
              <w:numPr>
                <w:ilvl w:val="1"/>
                <w:numId w:val="34"/>
              </w:numPr>
              <w:autoSpaceDE w:val="0"/>
              <w:autoSpaceDN w:val="0"/>
              <w:spacing w:before="240" w:after="240"/>
              <w:ind w:left="1287" w:hanging="709"/>
              <w:jc w:val="both"/>
              <w:rPr>
                <w:rFonts w:ascii="Garamond" w:hAnsi="Garamond"/>
                <w:bCs/>
                <w:i/>
                <w:spacing w:val="-6"/>
                <w:sz w:val="22"/>
                <w:szCs w:val="22"/>
                <w:lang w:eastAsia="ru-RU"/>
              </w:rPr>
            </w:pPr>
            <w:r w:rsidRPr="00A43979">
              <w:rPr>
                <w:rFonts w:ascii="Garamond" w:hAnsi="Garamond"/>
                <w:bCs/>
                <w:i/>
                <w:spacing w:val="-6"/>
                <w:sz w:val="22"/>
                <w:szCs w:val="22"/>
                <w:lang w:eastAsia="ru-RU"/>
              </w:rPr>
              <w:lastRenderedPageBreak/>
              <w:t xml:space="preserve">за поруками, що надані та/або можуть бути надані іншими Поручителями  (з урахуванням подальших змін та доповнень до таких договорів); та/або </w:t>
            </w:r>
          </w:p>
          <w:p w14:paraId="302F15CE" w14:textId="77777777" w:rsidR="00CE3715" w:rsidRPr="00A43979" w:rsidRDefault="00CE3715" w:rsidP="00CE3715">
            <w:pPr>
              <w:pStyle w:val="a4"/>
              <w:numPr>
                <w:ilvl w:val="1"/>
                <w:numId w:val="34"/>
              </w:numPr>
              <w:autoSpaceDE w:val="0"/>
              <w:autoSpaceDN w:val="0"/>
              <w:spacing w:before="240" w:after="240"/>
              <w:ind w:left="1287" w:hanging="709"/>
              <w:jc w:val="both"/>
              <w:rPr>
                <w:rFonts w:ascii="Garamond" w:hAnsi="Garamond"/>
                <w:bCs/>
                <w:i/>
                <w:spacing w:val="-6"/>
                <w:sz w:val="22"/>
                <w:szCs w:val="22"/>
                <w:lang w:eastAsia="ru-RU"/>
              </w:rPr>
            </w:pPr>
            <w:r w:rsidRPr="00A43979">
              <w:rPr>
                <w:rFonts w:ascii="Garamond" w:hAnsi="Garamond"/>
                <w:bCs/>
                <w:i/>
                <w:spacing w:val="-6"/>
                <w:sz w:val="22"/>
                <w:szCs w:val="22"/>
                <w:lang w:eastAsia="ru-RU"/>
              </w:rPr>
              <w:t>за гарантіями, що надані та/або можуть бути надані Гарантами (з урахуванням подальших змін та доповнень до таких договорів); та/або</w:t>
            </w:r>
          </w:p>
          <w:p w14:paraId="19645422" w14:textId="77777777" w:rsidR="00CE3715" w:rsidRPr="00A43979" w:rsidRDefault="00CE3715" w:rsidP="00CE3715">
            <w:pPr>
              <w:pStyle w:val="a4"/>
              <w:numPr>
                <w:ilvl w:val="1"/>
                <w:numId w:val="34"/>
              </w:numPr>
              <w:autoSpaceDE w:val="0"/>
              <w:autoSpaceDN w:val="0"/>
              <w:spacing w:before="240" w:after="240"/>
              <w:ind w:left="1287" w:hanging="709"/>
              <w:jc w:val="both"/>
              <w:rPr>
                <w:rFonts w:ascii="Garamond" w:hAnsi="Garamond"/>
                <w:bCs/>
                <w:i/>
                <w:spacing w:val="-6"/>
                <w:sz w:val="22"/>
                <w:szCs w:val="22"/>
                <w:lang w:eastAsia="ru-RU"/>
              </w:rPr>
            </w:pPr>
            <w:r w:rsidRPr="00A43979">
              <w:rPr>
                <w:rFonts w:ascii="Garamond" w:hAnsi="Garamond"/>
                <w:i/>
                <w:spacing w:val="-6"/>
                <w:sz w:val="22"/>
                <w:szCs w:val="22"/>
                <w:lang w:eastAsia="ru-RU"/>
              </w:rPr>
              <w:t>всіма іншими правочинами та/або документами, які повинні вчинятися, укладатися, видаватися, вручатися, оформлюватися, випускатися або підписуватися з умовами випуску та розміщення  згідно або у зв'язку з Новими Облігаціями, включаючи, але не обмежуючись, рефінансування та/або часткове/повне погашення та/або перевипуск та/або зміни умов випуску таких Нових Облігацій</w:t>
            </w:r>
            <w:r w:rsidRPr="00A43979">
              <w:rPr>
                <w:rFonts w:ascii="Garamond" w:hAnsi="Garamond"/>
                <w:bCs/>
                <w:i/>
                <w:spacing w:val="-6"/>
                <w:sz w:val="22"/>
                <w:szCs w:val="22"/>
                <w:lang w:eastAsia="ru-RU"/>
              </w:rPr>
              <w:t>.</w:t>
            </w:r>
          </w:p>
          <w:p w14:paraId="38FC5D17" w14:textId="77777777" w:rsidR="00CE3715" w:rsidRPr="00A43979" w:rsidRDefault="00CE3715" w:rsidP="00CE3715">
            <w:pPr>
              <w:numPr>
                <w:ilvl w:val="1"/>
                <w:numId w:val="31"/>
              </w:numPr>
              <w:autoSpaceDE w:val="0"/>
              <w:autoSpaceDN w:val="0"/>
              <w:spacing w:before="240" w:after="240"/>
              <w:ind w:left="567" w:hanging="567"/>
              <w:jc w:val="both"/>
              <w:rPr>
                <w:rFonts w:ascii="Garamond" w:hAnsi="Garamond"/>
                <w:bCs/>
                <w:spacing w:val="-6"/>
                <w:sz w:val="22"/>
                <w:szCs w:val="22"/>
                <w:lang w:eastAsia="ru-RU"/>
              </w:rPr>
            </w:pPr>
            <w:r w:rsidRPr="00A43979">
              <w:rPr>
                <w:rFonts w:ascii="Garamond" w:hAnsi="Garamond"/>
                <w:bCs/>
                <w:spacing w:val="-6"/>
                <w:sz w:val="22"/>
                <w:szCs w:val="22"/>
                <w:lang w:eastAsia="ru-RU"/>
              </w:rPr>
              <w:t>Надати згоду на:</w:t>
            </w:r>
          </w:p>
          <w:p w14:paraId="448C12CC" w14:textId="0CB8E990" w:rsidR="00CE3715" w:rsidRPr="00CE3715" w:rsidRDefault="00CE3715" w:rsidP="00CE3715">
            <w:pPr>
              <w:pStyle w:val="a4"/>
              <w:numPr>
                <w:ilvl w:val="0"/>
                <w:numId w:val="36"/>
              </w:numPr>
              <w:autoSpaceDE w:val="0"/>
              <w:autoSpaceDN w:val="0"/>
              <w:spacing w:before="240" w:after="240"/>
              <w:ind w:left="1294" w:hanging="709"/>
              <w:jc w:val="both"/>
              <w:rPr>
                <w:rFonts w:ascii="Garamond" w:hAnsi="Garamond"/>
                <w:bCs/>
                <w:i/>
                <w:spacing w:val="-6"/>
                <w:sz w:val="22"/>
                <w:szCs w:val="22"/>
                <w:lang w:val="uk-UA" w:eastAsia="ru-RU"/>
              </w:rPr>
            </w:pPr>
            <w:r w:rsidRPr="00CE3715">
              <w:rPr>
                <w:rFonts w:ascii="Garamond" w:hAnsi="Garamond"/>
                <w:i/>
                <w:spacing w:val="-6"/>
                <w:sz w:val="22"/>
                <w:szCs w:val="22"/>
                <w:lang w:val="uk-UA" w:eastAsia="ru-RU"/>
              </w:rPr>
              <w:t>укладання та підписання Товариством в якості поручителя договору поруки (</w:t>
            </w:r>
            <w:r w:rsidRPr="00A43979">
              <w:rPr>
                <w:rFonts w:ascii="Garamond" w:hAnsi="Garamond"/>
                <w:i/>
                <w:spacing w:val="-6"/>
                <w:sz w:val="22"/>
                <w:szCs w:val="22"/>
                <w:lang w:eastAsia="ru-RU"/>
              </w:rPr>
              <w:t>Deed</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eastAsia="ru-RU"/>
              </w:rPr>
              <w:t>of</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eastAsia="ru-RU"/>
              </w:rPr>
              <w:t>Surety</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val="en-US" w:eastAsia="ru-RU"/>
              </w:rPr>
              <w:t>Surety</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val="en-US" w:eastAsia="ru-RU"/>
              </w:rPr>
              <w:t>Agreement</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val="en-US" w:eastAsia="ru-RU"/>
              </w:rPr>
              <w:t>Suretyship</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val="en-US" w:eastAsia="ru-RU"/>
              </w:rPr>
              <w:t>Agreement</w:t>
            </w:r>
            <w:r w:rsidRPr="00CE3715">
              <w:rPr>
                <w:rFonts w:ascii="Garamond" w:hAnsi="Garamond"/>
                <w:i/>
                <w:spacing w:val="-6"/>
                <w:sz w:val="22"/>
                <w:szCs w:val="22"/>
                <w:lang w:val="uk-UA" w:eastAsia="ru-RU"/>
              </w:rPr>
              <w:t xml:space="preserve">/ </w:t>
            </w:r>
            <w:r w:rsidRPr="00A43979">
              <w:rPr>
                <w:rFonts w:ascii="Garamond" w:hAnsi="Garamond"/>
                <w:i/>
                <w:spacing w:val="-6"/>
                <w:sz w:val="22"/>
                <w:szCs w:val="22"/>
                <w:lang w:val="en-US" w:eastAsia="ru-RU"/>
              </w:rPr>
              <w:t>Suretyship</w:t>
            </w:r>
            <w:r w:rsidRPr="00CE3715">
              <w:rPr>
                <w:rFonts w:ascii="Garamond" w:hAnsi="Garamond"/>
                <w:i/>
                <w:spacing w:val="-6"/>
                <w:sz w:val="22"/>
                <w:szCs w:val="22"/>
                <w:lang w:val="uk-UA" w:eastAsia="ru-RU"/>
              </w:rPr>
              <w:t xml:space="preserve">) </w:t>
            </w:r>
            <w:r w:rsidRPr="00CE3715">
              <w:rPr>
                <w:rFonts w:ascii="Garamond" w:hAnsi="Garamond"/>
                <w:spacing w:val="-6"/>
                <w:sz w:val="22"/>
                <w:szCs w:val="22"/>
                <w:lang w:val="uk-UA"/>
              </w:rPr>
              <w:t xml:space="preserve"> </w:t>
            </w:r>
            <w:r w:rsidRPr="00CE3715">
              <w:rPr>
                <w:rFonts w:ascii="Garamond" w:hAnsi="Garamond"/>
                <w:i/>
                <w:spacing w:val="-6"/>
                <w:sz w:val="22"/>
                <w:szCs w:val="22"/>
                <w:lang w:val="uk-UA" w:eastAsia="ru-RU"/>
              </w:rPr>
              <w:t>з, із-поміж інших, довірчим управителем (</w:t>
            </w:r>
            <w:r w:rsidRPr="00A43979">
              <w:rPr>
                <w:rFonts w:ascii="Garamond" w:hAnsi="Garamond"/>
                <w:i/>
                <w:spacing w:val="-6"/>
                <w:sz w:val="22"/>
                <w:szCs w:val="22"/>
                <w:lang w:val="en-US" w:eastAsia="ru-RU"/>
              </w:rPr>
              <w:t>trustee</w:t>
            </w:r>
            <w:r w:rsidRPr="00CE3715">
              <w:rPr>
                <w:rFonts w:ascii="Garamond" w:hAnsi="Garamond"/>
                <w:i/>
                <w:spacing w:val="-6"/>
                <w:sz w:val="22"/>
                <w:szCs w:val="22"/>
                <w:lang w:val="uk-UA" w:eastAsia="ru-RU"/>
              </w:rPr>
              <w:t xml:space="preserve">) та/або будь-якими компаніями, які входять до Групи </w:t>
            </w:r>
            <w:r w:rsidRPr="00A43979">
              <w:rPr>
                <w:rFonts w:ascii="Garamond" w:hAnsi="Garamond"/>
                <w:i/>
                <w:spacing w:val="-6"/>
                <w:sz w:val="22"/>
                <w:szCs w:val="22"/>
                <w:lang w:eastAsia="ru-RU"/>
              </w:rPr>
              <w:t>DEBV</w:t>
            </w:r>
            <w:r w:rsidRPr="00CE3715">
              <w:rPr>
                <w:rFonts w:ascii="Garamond" w:hAnsi="Garamond"/>
                <w:i/>
                <w:spacing w:val="-6"/>
                <w:sz w:val="22"/>
                <w:szCs w:val="22"/>
                <w:lang w:val="uk-UA" w:eastAsia="ru-RU"/>
              </w:rPr>
              <w:t xml:space="preserve"> (надалі – «</w:t>
            </w:r>
            <w:r w:rsidRPr="00CE3715">
              <w:rPr>
                <w:rFonts w:ascii="Garamond" w:hAnsi="Garamond"/>
                <w:b/>
                <w:i/>
                <w:spacing w:val="-6"/>
                <w:sz w:val="22"/>
                <w:szCs w:val="22"/>
                <w:lang w:val="uk-UA" w:eastAsia="ru-RU"/>
              </w:rPr>
              <w:t>Договір Поруки</w:t>
            </w:r>
            <w:r w:rsidRPr="00CE3715">
              <w:rPr>
                <w:rFonts w:ascii="Garamond" w:hAnsi="Garamond"/>
                <w:i/>
                <w:spacing w:val="-6"/>
                <w:sz w:val="22"/>
                <w:szCs w:val="22"/>
                <w:lang w:val="uk-UA" w:eastAsia="ru-RU"/>
              </w:rPr>
              <w:t xml:space="preserve">») щодо надання поруки згідно з пунктом </w:t>
            </w:r>
            <w:r>
              <w:rPr>
                <w:rFonts w:ascii="Garamond" w:hAnsi="Garamond"/>
                <w:i/>
                <w:spacing w:val="-6"/>
                <w:sz w:val="22"/>
                <w:szCs w:val="22"/>
                <w:lang w:val="ru-UA" w:eastAsia="ru-RU"/>
              </w:rPr>
              <w:t>1</w:t>
            </w:r>
            <w:r w:rsidRPr="00CE3715">
              <w:rPr>
                <w:rFonts w:ascii="Garamond" w:hAnsi="Garamond"/>
                <w:i/>
                <w:spacing w:val="-6"/>
                <w:sz w:val="22"/>
                <w:szCs w:val="22"/>
                <w:lang w:val="uk-UA" w:eastAsia="ru-RU"/>
              </w:rPr>
              <w:t xml:space="preserve">.1 цього рішення; </w:t>
            </w:r>
          </w:p>
          <w:p w14:paraId="4CB9F4F9" w14:textId="77777777" w:rsidR="00CE3715" w:rsidRPr="00A43979" w:rsidRDefault="00CE3715" w:rsidP="00CE3715">
            <w:pPr>
              <w:pStyle w:val="a4"/>
              <w:numPr>
                <w:ilvl w:val="0"/>
                <w:numId w:val="36"/>
              </w:numPr>
              <w:autoSpaceDE w:val="0"/>
              <w:autoSpaceDN w:val="0"/>
              <w:spacing w:before="240" w:after="240"/>
              <w:ind w:left="1294" w:hanging="709"/>
              <w:jc w:val="both"/>
              <w:rPr>
                <w:rFonts w:ascii="Garamond" w:hAnsi="Garamond"/>
                <w:bCs/>
                <w:i/>
                <w:spacing w:val="-6"/>
                <w:sz w:val="22"/>
                <w:szCs w:val="22"/>
                <w:lang w:eastAsia="ru-RU"/>
              </w:rPr>
            </w:pPr>
            <w:r w:rsidRPr="00A43979">
              <w:rPr>
                <w:rFonts w:ascii="Garamond" w:hAnsi="Garamond"/>
                <w:i/>
                <w:spacing w:val="-6"/>
                <w:sz w:val="22"/>
                <w:szCs w:val="22"/>
                <w:lang w:eastAsia="ru-RU"/>
              </w:rPr>
              <w:t xml:space="preserve">з урахуванням зазначеного у підпункті </w:t>
            </w:r>
            <w:r w:rsidRPr="00A43979">
              <w:rPr>
                <w:rFonts w:ascii="Garamond" w:hAnsi="Garamond"/>
                <w:i/>
                <w:spacing w:val="-6"/>
                <w:sz w:val="22"/>
                <w:szCs w:val="22"/>
                <w:lang w:val="ru-UA" w:eastAsia="ru-RU"/>
              </w:rPr>
              <w:t>1</w:t>
            </w:r>
            <w:r w:rsidRPr="00A43979">
              <w:rPr>
                <w:rFonts w:ascii="Garamond" w:hAnsi="Garamond"/>
                <w:i/>
                <w:spacing w:val="-6"/>
                <w:sz w:val="22"/>
                <w:szCs w:val="22"/>
                <w:lang w:eastAsia="ru-RU"/>
              </w:rPr>
              <w:t xml:space="preserve">.2.1 рішення – здійснення Товариством будь-яких операцій, передбачених </w:t>
            </w:r>
            <w:r w:rsidRPr="00A43979">
              <w:rPr>
                <w:rFonts w:ascii="Garamond" w:hAnsi="Garamond"/>
                <w:bCs/>
                <w:i/>
                <w:spacing w:val="-6"/>
                <w:sz w:val="22"/>
                <w:szCs w:val="22"/>
                <w:lang w:eastAsia="ru-RU"/>
              </w:rPr>
              <w:t>Договором Поруки</w:t>
            </w:r>
            <w:r w:rsidRPr="00A43979">
              <w:rPr>
                <w:rFonts w:ascii="Garamond" w:hAnsi="Garamond"/>
                <w:i/>
                <w:spacing w:val="-6"/>
                <w:sz w:val="22"/>
                <w:szCs w:val="22"/>
                <w:lang w:eastAsia="ru-RU"/>
              </w:rPr>
              <w:t>.</w:t>
            </w:r>
          </w:p>
          <w:p w14:paraId="14F7DEA2" w14:textId="77777777" w:rsidR="00CE3715" w:rsidRPr="00A43979" w:rsidRDefault="00CE3715" w:rsidP="00CE3715">
            <w:pPr>
              <w:numPr>
                <w:ilvl w:val="1"/>
                <w:numId w:val="31"/>
              </w:numPr>
              <w:autoSpaceDE w:val="0"/>
              <w:autoSpaceDN w:val="0"/>
              <w:spacing w:before="240" w:after="240"/>
              <w:ind w:left="567" w:hanging="567"/>
              <w:jc w:val="both"/>
              <w:rPr>
                <w:rFonts w:ascii="Garamond" w:hAnsi="Garamond"/>
                <w:bCs/>
                <w:spacing w:val="-6"/>
                <w:sz w:val="22"/>
                <w:szCs w:val="22"/>
                <w:lang w:eastAsia="ru-RU"/>
              </w:rPr>
            </w:pPr>
            <w:r w:rsidRPr="00A43979">
              <w:rPr>
                <w:rFonts w:ascii="Garamond" w:hAnsi="Garamond"/>
                <w:bCs/>
                <w:spacing w:val="-6"/>
                <w:sz w:val="22"/>
                <w:szCs w:val="22"/>
                <w:lang w:eastAsia="ru-RU"/>
              </w:rPr>
              <w:t>Надати згоду на вчинення Товариством значних правочинів (у тому числі, без обмежень, Договір обслуговування випуску та договір про зобов'язання (</w:t>
            </w:r>
            <w:r w:rsidRPr="00A43979">
              <w:rPr>
                <w:rFonts w:ascii="Garamond" w:hAnsi="Garamond"/>
                <w:b/>
                <w:spacing w:val="-6"/>
                <w:sz w:val="22"/>
                <w:szCs w:val="22"/>
                <w:lang w:val="en-US" w:eastAsia="ru-RU"/>
              </w:rPr>
              <w:t>Deed</w:t>
            </w:r>
            <w:r w:rsidRPr="00A43979">
              <w:rPr>
                <w:rFonts w:ascii="Garamond" w:hAnsi="Garamond"/>
                <w:b/>
                <w:spacing w:val="-6"/>
                <w:sz w:val="22"/>
                <w:szCs w:val="22"/>
                <w:lang w:eastAsia="ru-RU"/>
              </w:rPr>
              <w:t xml:space="preserve"> </w:t>
            </w:r>
            <w:r w:rsidRPr="00A43979">
              <w:rPr>
                <w:rFonts w:ascii="Garamond" w:hAnsi="Garamond"/>
                <w:b/>
                <w:spacing w:val="-6"/>
                <w:sz w:val="22"/>
                <w:szCs w:val="22"/>
                <w:lang w:val="en-US" w:eastAsia="ru-RU"/>
              </w:rPr>
              <w:t>of</w:t>
            </w:r>
            <w:r w:rsidRPr="00A43979">
              <w:rPr>
                <w:rFonts w:ascii="Garamond" w:hAnsi="Garamond"/>
                <w:b/>
                <w:spacing w:val="-6"/>
                <w:sz w:val="22"/>
                <w:szCs w:val="22"/>
                <w:lang w:eastAsia="ru-RU"/>
              </w:rPr>
              <w:t xml:space="preserve"> </w:t>
            </w:r>
            <w:r w:rsidRPr="00A43979">
              <w:rPr>
                <w:rFonts w:ascii="Garamond" w:hAnsi="Garamond"/>
                <w:b/>
                <w:spacing w:val="-6"/>
                <w:sz w:val="22"/>
                <w:szCs w:val="22"/>
                <w:lang w:val="en-US" w:eastAsia="ru-RU"/>
              </w:rPr>
              <w:t>Undertaking</w:t>
            </w:r>
            <w:r w:rsidRPr="00A43979">
              <w:rPr>
                <w:rFonts w:ascii="Garamond" w:hAnsi="Garamond"/>
                <w:bCs/>
                <w:spacing w:val="-6"/>
                <w:sz w:val="22"/>
                <w:szCs w:val="22"/>
                <w:lang w:eastAsia="ru-RU"/>
              </w:rPr>
              <w:t>), договір про запевнення, гарантії та відшкодування (</w:t>
            </w:r>
            <w:r w:rsidRPr="00A43979">
              <w:rPr>
                <w:rFonts w:ascii="Garamond" w:hAnsi="Garamond"/>
                <w:bCs/>
                <w:spacing w:val="-6"/>
                <w:sz w:val="22"/>
                <w:szCs w:val="22"/>
                <w:lang w:val="en-GB" w:eastAsia="ru-RU"/>
              </w:rPr>
              <w:t>representation</w:t>
            </w:r>
            <w:r w:rsidRPr="00A43979">
              <w:rPr>
                <w:rFonts w:ascii="Garamond" w:hAnsi="Garamond"/>
                <w:bCs/>
                <w:spacing w:val="-6"/>
                <w:sz w:val="22"/>
                <w:szCs w:val="22"/>
                <w:lang w:eastAsia="ru-RU"/>
              </w:rPr>
              <w:t xml:space="preserve">, </w:t>
            </w:r>
            <w:r w:rsidRPr="00A43979">
              <w:rPr>
                <w:rFonts w:ascii="Garamond" w:hAnsi="Garamond"/>
                <w:bCs/>
                <w:spacing w:val="-6"/>
                <w:sz w:val="22"/>
                <w:szCs w:val="22"/>
                <w:lang w:val="en-GB" w:eastAsia="ru-RU"/>
              </w:rPr>
              <w:t>warranty</w:t>
            </w:r>
            <w:r w:rsidRPr="00A43979">
              <w:rPr>
                <w:rFonts w:ascii="Garamond" w:hAnsi="Garamond"/>
                <w:bCs/>
                <w:spacing w:val="-6"/>
                <w:sz w:val="22"/>
                <w:szCs w:val="22"/>
                <w:lang w:eastAsia="ru-RU"/>
              </w:rPr>
              <w:t xml:space="preserve"> </w:t>
            </w:r>
            <w:r w:rsidRPr="00A43979">
              <w:rPr>
                <w:rFonts w:ascii="Garamond" w:hAnsi="Garamond"/>
                <w:bCs/>
                <w:spacing w:val="-6"/>
                <w:sz w:val="22"/>
                <w:szCs w:val="22"/>
                <w:lang w:val="en-GB" w:eastAsia="ru-RU"/>
              </w:rPr>
              <w:t>and</w:t>
            </w:r>
            <w:r w:rsidRPr="00A43979">
              <w:rPr>
                <w:rFonts w:ascii="Garamond" w:hAnsi="Garamond"/>
                <w:bCs/>
                <w:spacing w:val="-6"/>
                <w:sz w:val="22"/>
                <w:szCs w:val="22"/>
                <w:lang w:eastAsia="ru-RU"/>
              </w:rPr>
              <w:t xml:space="preserve"> </w:t>
            </w:r>
            <w:r w:rsidRPr="00A43979">
              <w:rPr>
                <w:rFonts w:ascii="Garamond" w:hAnsi="Garamond"/>
                <w:bCs/>
                <w:spacing w:val="-6"/>
                <w:sz w:val="22"/>
                <w:szCs w:val="22"/>
                <w:lang w:val="en-GB" w:eastAsia="ru-RU"/>
              </w:rPr>
              <w:t>indemnity</w:t>
            </w:r>
            <w:r w:rsidRPr="00A43979">
              <w:rPr>
                <w:rFonts w:ascii="Garamond" w:hAnsi="Garamond"/>
                <w:bCs/>
                <w:spacing w:val="-6"/>
                <w:sz w:val="22"/>
                <w:szCs w:val="22"/>
                <w:lang w:eastAsia="ru-RU"/>
              </w:rPr>
              <w:t xml:space="preserve"> </w:t>
            </w:r>
            <w:r w:rsidRPr="00A43979">
              <w:rPr>
                <w:rFonts w:ascii="Garamond" w:hAnsi="Garamond"/>
                <w:bCs/>
                <w:spacing w:val="-6"/>
                <w:sz w:val="22"/>
                <w:szCs w:val="22"/>
                <w:lang w:val="en-GB" w:eastAsia="ru-RU"/>
              </w:rPr>
              <w:t>agreement</w:t>
            </w:r>
            <w:r w:rsidRPr="00A43979">
              <w:rPr>
                <w:rFonts w:ascii="Garamond" w:hAnsi="Garamond"/>
                <w:bCs/>
                <w:spacing w:val="-6"/>
                <w:sz w:val="22"/>
                <w:szCs w:val="22"/>
                <w:lang w:eastAsia="ru-RU"/>
              </w:rPr>
              <w:t xml:space="preserve">)),  що мають бути вчинені відповідно до умов випуску та розміщення Нових Облігацій щодо взяття Товариством будь-яких зобов’язань відшкодовувати будь-які збитки, витрати та/або інші суми будь-якого характеру та виду та/або встановлюють інші зобов’язання Товариства, згідно з або у зв’язку із випуском та розміщенням Нових Облігацій та обміном / </w:t>
            </w:r>
            <w:r w:rsidRPr="00A43979">
              <w:rPr>
                <w:rFonts w:ascii="Garamond" w:hAnsi="Garamond"/>
                <w:spacing w:val="-6"/>
                <w:sz w:val="22"/>
                <w:szCs w:val="22"/>
                <w:lang w:eastAsia="ru-RU"/>
              </w:rPr>
              <w:t>рефінансуванням / погашенням / перевипуском та/або змінами умов випуску</w:t>
            </w:r>
            <w:r w:rsidRPr="00A43979">
              <w:rPr>
                <w:rFonts w:ascii="Garamond" w:hAnsi="Garamond"/>
                <w:bCs/>
                <w:spacing w:val="-6"/>
                <w:sz w:val="22"/>
                <w:szCs w:val="22"/>
                <w:lang w:eastAsia="ru-RU"/>
              </w:rPr>
              <w:t xml:space="preserve"> Нових Облігацій, шляхом вчинення / укладання / підписання / надання / видачі будь-яких правочинів та/або договорів та/або інших документів, свідоцтв, розпоряджень, довідок, сертифікатів, повідомлень і інших документів,  в тому числі, але не виключно,  у зв’язку з укладанням Договору поруки та пов’язаних з ними документів, у яких можуть міститися такі зобов’язання (надалі –</w:t>
            </w:r>
            <w:r w:rsidRPr="00A43979">
              <w:rPr>
                <w:rFonts w:ascii="Garamond" w:hAnsi="Garamond"/>
                <w:b/>
                <w:bCs/>
                <w:spacing w:val="-6"/>
                <w:sz w:val="22"/>
                <w:szCs w:val="22"/>
                <w:lang w:eastAsia="ru-RU"/>
              </w:rPr>
              <w:t xml:space="preserve"> «Транзакційні документи»</w:t>
            </w:r>
            <w:r w:rsidRPr="00A43979">
              <w:rPr>
                <w:rFonts w:ascii="Garamond" w:hAnsi="Garamond"/>
                <w:bCs/>
                <w:spacing w:val="-6"/>
                <w:sz w:val="22"/>
                <w:szCs w:val="22"/>
                <w:lang w:eastAsia="ru-RU"/>
              </w:rPr>
              <w:t>)</w:t>
            </w:r>
            <w:r w:rsidRPr="00A43979">
              <w:rPr>
                <w:rFonts w:ascii="Garamond" w:hAnsi="Garamond"/>
                <w:spacing w:val="-6"/>
                <w:sz w:val="22"/>
                <w:szCs w:val="22"/>
                <w:lang w:eastAsia="ru-RU"/>
              </w:rPr>
              <w:t xml:space="preserve">. </w:t>
            </w:r>
          </w:p>
          <w:p w14:paraId="0424AF18" w14:textId="77777777" w:rsidR="00CE3715" w:rsidRPr="00A43979" w:rsidRDefault="00CE3715" w:rsidP="00CE3715">
            <w:pPr>
              <w:numPr>
                <w:ilvl w:val="1"/>
                <w:numId w:val="31"/>
              </w:numPr>
              <w:autoSpaceDE w:val="0"/>
              <w:autoSpaceDN w:val="0"/>
              <w:spacing w:before="240" w:after="240"/>
              <w:ind w:left="567" w:hanging="567"/>
              <w:jc w:val="both"/>
              <w:rPr>
                <w:rFonts w:ascii="Garamond" w:hAnsi="Garamond"/>
                <w:bCs/>
                <w:spacing w:val="-6"/>
                <w:sz w:val="22"/>
                <w:szCs w:val="22"/>
                <w:lang w:eastAsia="ru-RU"/>
              </w:rPr>
            </w:pPr>
            <w:r w:rsidRPr="00A43979">
              <w:rPr>
                <w:rFonts w:ascii="Garamond" w:hAnsi="Garamond"/>
                <w:bCs/>
                <w:spacing w:val="-6"/>
                <w:sz w:val="22"/>
                <w:szCs w:val="22"/>
                <w:lang w:eastAsia="ru-RU"/>
              </w:rPr>
              <w:t xml:space="preserve">Прийняти рішення про видачу Товариством довіреностей, необхідних для вчинення, укладання, видання, надання, випуску та/або підписання Товариством Договору поруки, Транзакційних документів, а також всіх інших свідоцтв, розпоряджень, довідок, сертифікатів, повідомлень та інших документів, які повинні укладатися, видаватися, випускатися або підписуватися Товариством згідно або у зв'язку з випуском та розміщенням Нових Облігацій та/або </w:t>
            </w:r>
            <w:r w:rsidRPr="00A43979">
              <w:rPr>
                <w:rFonts w:ascii="Garamond" w:hAnsi="Garamond"/>
                <w:bCs/>
                <w:spacing w:val="-6"/>
                <w:sz w:val="22"/>
                <w:szCs w:val="22"/>
                <w:lang w:eastAsia="ru-RU"/>
              </w:rPr>
              <w:lastRenderedPageBreak/>
              <w:t>рефінансуванням та/або частковим/повним погашенням та/або перевипуском та/або зміною умов випуску таких Нових Облігацій та/або у зв'язку з Договором поруки та/або Транзакційними документами, та уповноважити Виконавчий орган Товариства або особу, що тимчасово виконує його обов’язки, на визначення форми та змісту таких довіреностей та здійснення усіх дій, необхідних для їх підписання та видачі.</w:t>
            </w:r>
          </w:p>
          <w:p w14:paraId="0E5DCEB7" w14:textId="77777777" w:rsidR="00CE3715" w:rsidRPr="00A43979" w:rsidRDefault="00CE3715" w:rsidP="00CE3715">
            <w:pPr>
              <w:numPr>
                <w:ilvl w:val="1"/>
                <w:numId w:val="31"/>
              </w:numPr>
              <w:autoSpaceDE w:val="0"/>
              <w:autoSpaceDN w:val="0"/>
              <w:spacing w:before="240" w:after="240"/>
              <w:ind w:left="567" w:hanging="567"/>
              <w:jc w:val="both"/>
              <w:rPr>
                <w:rFonts w:ascii="Garamond" w:hAnsi="Garamond"/>
                <w:bCs/>
                <w:spacing w:val="-6"/>
                <w:sz w:val="22"/>
                <w:szCs w:val="22"/>
                <w:lang w:eastAsia="ru-RU"/>
              </w:rPr>
            </w:pPr>
            <w:r w:rsidRPr="00A43979">
              <w:rPr>
                <w:rFonts w:ascii="Garamond" w:hAnsi="Garamond"/>
                <w:spacing w:val="-6"/>
                <w:sz w:val="22"/>
                <w:szCs w:val="22"/>
                <w:lang w:eastAsia="ru-RU"/>
              </w:rPr>
              <w:t xml:space="preserve">Встановити, що вчинення, укладання, видання, надання, випуск та/або підписання Товариством </w:t>
            </w:r>
            <w:r w:rsidRPr="00A43979">
              <w:rPr>
                <w:rFonts w:ascii="Garamond" w:hAnsi="Garamond"/>
                <w:bCs/>
                <w:spacing w:val="-6"/>
                <w:sz w:val="22"/>
                <w:szCs w:val="22"/>
                <w:lang w:eastAsia="ru-RU"/>
              </w:rPr>
              <w:t>Договору поруки</w:t>
            </w:r>
            <w:r w:rsidRPr="00A43979">
              <w:rPr>
                <w:rFonts w:ascii="Garamond" w:hAnsi="Garamond"/>
                <w:spacing w:val="-6"/>
                <w:sz w:val="22"/>
                <w:szCs w:val="22"/>
                <w:lang w:eastAsia="ru-RU"/>
              </w:rPr>
              <w:t xml:space="preserve"> та/або інших Транзакційних документів відповідно до рішень, що зазначені у пунктах </w:t>
            </w:r>
            <w:r w:rsidRPr="00A43979">
              <w:rPr>
                <w:rFonts w:ascii="Garamond" w:hAnsi="Garamond"/>
                <w:spacing w:val="-6"/>
                <w:sz w:val="22"/>
                <w:szCs w:val="22"/>
                <w:lang w:val="ru-UA" w:eastAsia="ru-RU"/>
              </w:rPr>
              <w:t>1</w:t>
            </w:r>
            <w:r w:rsidRPr="00A43979">
              <w:rPr>
                <w:rFonts w:ascii="Garamond" w:hAnsi="Garamond"/>
                <w:spacing w:val="-6"/>
                <w:sz w:val="22"/>
                <w:szCs w:val="22"/>
                <w:lang w:eastAsia="ru-RU"/>
              </w:rPr>
              <w:t xml:space="preserve">.2 – </w:t>
            </w:r>
            <w:r w:rsidRPr="00A43979">
              <w:rPr>
                <w:rFonts w:ascii="Garamond" w:hAnsi="Garamond"/>
                <w:spacing w:val="-6"/>
                <w:sz w:val="22"/>
                <w:szCs w:val="22"/>
                <w:lang w:val="ru-UA" w:eastAsia="ru-RU"/>
              </w:rPr>
              <w:t>1</w:t>
            </w:r>
            <w:r w:rsidRPr="00A43979">
              <w:rPr>
                <w:rFonts w:ascii="Garamond" w:hAnsi="Garamond"/>
                <w:spacing w:val="-6"/>
                <w:sz w:val="22"/>
                <w:szCs w:val="22"/>
                <w:lang w:eastAsia="ru-RU"/>
              </w:rPr>
              <w:t>.3, здійснюється на наступних умовах:</w:t>
            </w:r>
          </w:p>
          <w:p w14:paraId="3FCFEF4A" w14:textId="77777777" w:rsidR="00CE3715" w:rsidRPr="00A43979" w:rsidRDefault="00CE3715" w:rsidP="00CE3715">
            <w:pPr>
              <w:pStyle w:val="a4"/>
              <w:numPr>
                <w:ilvl w:val="0"/>
                <w:numId w:val="35"/>
              </w:numPr>
              <w:autoSpaceDE w:val="0"/>
              <w:autoSpaceDN w:val="0"/>
              <w:spacing w:before="240" w:after="240"/>
              <w:ind w:left="1294" w:hanging="709"/>
              <w:jc w:val="both"/>
              <w:rPr>
                <w:rFonts w:ascii="Garamond" w:hAnsi="Garamond"/>
                <w:bCs/>
                <w:spacing w:val="-6"/>
                <w:sz w:val="22"/>
                <w:szCs w:val="22"/>
                <w:lang w:eastAsia="ru-RU"/>
              </w:rPr>
            </w:pPr>
            <w:r w:rsidRPr="00A43979">
              <w:rPr>
                <w:rFonts w:ascii="Garamond" w:hAnsi="Garamond"/>
                <w:i/>
                <w:spacing w:val="-6"/>
                <w:sz w:val="22"/>
                <w:szCs w:val="22"/>
              </w:rPr>
              <w:t>Виконавчий орган Товариства або особа, що тимчасово виконує його обов’язки, або особа, уповноважена Виконавчим органом Товариства або особою, яка тимчасово виконує його обов’язки, на підставі довіреності</w:t>
            </w:r>
            <w:r w:rsidRPr="00A43979" w:rsidDel="009E2A4F">
              <w:rPr>
                <w:rFonts w:ascii="Garamond" w:hAnsi="Garamond"/>
                <w:i/>
                <w:spacing w:val="-6"/>
                <w:sz w:val="22"/>
                <w:szCs w:val="22"/>
              </w:rPr>
              <w:t>,</w:t>
            </w:r>
            <w:r w:rsidRPr="00A43979" w:rsidDel="00B06DAD">
              <w:rPr>
                <w:rFonts w:ascii="Garamond" w:hAnsi="Garamond"/>
                <w:i/>
                <w:spacing w:val="-6"/>
                <w:sz w:val="22"/>
                <w:szCs w:val="22"/>
              </w:rPr>
              <w:t xml:space="preserve"> без необхідності отримання окремого рішення Загальних зборів та/або Наглядової ради Товариства</w:t>
            </w:r>
            <w:r w:rsidRPr="00A43979">
              <w:rPr>
                <w:rFonts w:ascii="Garamond" w:hAnsi="Garamond"/>
                <w:i/>
                <w:spacing w:val="-6"/>
                <w:sz w:val="22"/>
                <w:szCs w:val="22"/>
              </w:rPr>
              <w:t xml:space="preserve"> остаточно на свій розсуд визначає та погоджує умови </w:t>
            </w:r>
            <w:r w:rsidRPr="00A43979">
              <w:rPr>
                <w:rFonts w:ascii="Garamond" w:hAnsi="Garamond"/>
                <w:bCs/>
                <w:i/>
                <w:spacing w:val="-6"/>
                <w:sz w:val="22"/>
                <w:szCs w:val="22"/>
              </w:rPr>
              <w:t>Договору поруки</w:t>
            </w:r>
            <w:r w:rsidRPr="00A43979">
              <w:rPr>
                <w:rFonts w:ascii="Garamond" w:hAnsi="Garamond"/>
                <w:i/>
                <w:spacing w:val="-6"/>
                <w:sz w:val="22"/>
                <w:szCs w:val="22"/>
              </w:rPr>
              <w:t xml:space="preserve"> та/або інших Транзакційних документів; </w:t>
            </w:r>
          </w:p>
          <w:p w14:paraId="271BB530" w14:textId="77777777" w:rsidR="00CE3715" w:rsidRPr="00A43979" w:rsidRDefault="00CE3715" w:rsidP="00CE3715">
            <w:pPr>
              <w:pStyle w:val="a4"/>
              <w:numPr>
                <w:ilvl w:val="0"/>
                <w:numId w:val="35"/>
              </w:numPr>
              <w:autoSpaceDE w:val="0"/>
              <w:autoSpaceDN w:val="0"/>
              <w:spacing w:before="240" w:after="240"/>
              <w:ind w:left="1294" w:hanging="709"/>
              <w:jc w:val="both"/>
              <w:rPr>
                <w:rFonts w:ascii="Garamond" w:hAnsi="Garamond"/>
                <w:bCs/>
                <w:i/>
                <w:spacing w:val="-6"/>
                <w:sz w:val="22"/>
                <w:szCs w:val="22"/>
              </w:rPr>
            </w:pPr>
            <w:r w:rsidRPr="00A43979">
              <w:rPr>
                <w:rFonts w:ascii="Garamond" w:hAnsi="Garamond"/>
                <w:bCs/>
                <w:i/>
                <w:spacing w:val="-6"/>
                <w:sz w:val="22"/>
                <w:szCs w:val="22"/>
              </w:rPr>
              <w:t>укладання Товариством у подальшому додаткових угод/договорів (у тому числі договорів про внесення змін, доповнень та/або про викладення у новій редакції), які змінюють будь-які істотні умови Договору поруки та/або інших Транзакційних документів здійснюється за рішенням Наглядової ради Товариства без необхідності отримання окремого рішення Загальних зборів Товариства, якщо для укладення вказаних додаткових угод / договорів не є необхідною згода / погодження / затвердження Загальних зборів Товариства відповідно до статуту Товариства та/або законодавства.</w:t>
            </w:r>
          </w:p>
          <w:p w14:paraId="6D02BAF7" w14:textId="77777777" w:rsidR="00CE3715" w:rsidRPr="00A43979" w:rsidRDefault="00CE3715" w:rsidP="00CE3715">
            <w:pPr>
              <w:numPr>
                <w:ilvl w:val="1"/>
                <w:numId w:val="31"/>
              </w:numPr>
              <w:autoSpaceDE w:val="0"/>
              <w:autoSpaceDN w:val="0"/>
              <w:spacing w:before="240" w:after="240"/>
              <w:ind w:left="567" w:hanging="567"/>
              <w:jc w:val="both"/>
              <w:rPr>
                <w:rFonts w:ascii="Garamond" w:hAnsi="Garamond"/>
                <w:color w:val="000000" w:themeColor="text1"/>
                <w:spacing w:val="-6"/>
                <w:sz w:val="22"/>
                <w:szCs w:val="22"/>
              </w:rPr>
            </w:pPr>
            <w:r w:rsidRPr="00A43979">
              <w:rPr>
                <w:rFonts w:ascii="Garamond" w:hAnsi="Garamond"/>
                <w:spacing w:val="-6"/>
                <w:sz w:val="22"/>
                <w:szCs w:val="22"/>
                <w:lang w:eastAsia="ru-RU"/>
              </w:rPr>
              <w:t xml:space="preserve">З урахуванням рішення, що зазначене у пункті </w:t>
            </w:r>
            <w:r w:rsidRPr="00A43979">
              <w:rPr>
                <w:rFonts w:ascii="Garamond" w:hAnsi="Garamond"/>
                <w:spacing w:val="-6"/>
                <w:sz w:val="22"/>
                <w:szCs w:val="22"/>
                <w:lang w:val="ru-UA" w:eastAsia="ru-RU"/>
              </w:rPr>
              <w:t>1</w:t>
            </w:r>
            <w:r w:rsidRPr="00A43979">
              <w:rPr>
                <w:rFonts w:ascii="Garamond" w:hAnsi="Garamond"/>
                <w:spacing w:val="-6"/>
                <w:sz w:val="22"/>
                <w:szCs w:val="22"/>
                <w:lang w:eastAsia="ru-RU"/>
              </w:rPr>
              <w:t>.5, надати дозвіл та повноваження Виконавчому органу Товариства, особі, що тимчасово виконує його обов’язки, з правом делегування таких повноважень Виконавчим органом Товариства або особою, яка тимчасово виконує його обов'язки, іншим особам на підставі довіреності</w:t>
            </w:r>
            <w:r w:rsidRPr="00A43979" w:rsidDel="00B81EDB">
              <w:rPr>
                <w:rFonts w:ascii="Garamond" w:hAnsi="Garamond"/>
                <w:spacing w:val="-6"/>
                <w:sz w:val="22"/>
                <w:szCs w:val="22"/>
                <w:lang w:eastAsia="ru-RU"/>
              </w:rPr>
              <w:t xml:space="preserve"> (без необхідності погодження видачі будь-якої такої довіреності Загальними зборами та/або Наглядовою радою)</w:t>
            </w:r>
            <w:r w:rsidRPr="00A43979">
              <w:rPr>
                <w:rFonts w:ascii="Garamond" w:hAnsi="Garamond"/>
                <w:spacing w:val="-6"/>
                <w:sz w:val="22"/>
                <w:szCs w:val="22"/>
                <w:lang w:eastAsia="ru-RU"/>
              </w:rPr>
              <w:t xml:space="preserve">, вести переговори, остаточно погоджувати всі умови та підписувати від імені Товариства </w:t>
            </w:r>
            <w:r w:rsidRPr="00A43979">
              <w:rPr>
                <w:rFonts w:ascii="Garamond" w:hAnsi="Garamond"/>
                <w:bCs/>
                <w:spacing w:val="-6"/>
                <w:sz w:val="22"/>
                <w:szCs w:val="22"/>
                <w:lang w:eastAsia="ru-RU"/>
              </w:rPr>
              <w:t>Договір поруки</w:t>
            </w:r>
            <w:r w:rsidRPr="00A43979">
              <w:rPr>
                <w:rFonts w:ascii="Garamond" w:hAnsi="Garamond"/>
                <w:spacing w:val="-6"/>
                <w:sz w:val="22"/>
                <w:szCs w:val="22"/>
                <w:lang w:eastAsia="ru-RU"/>
              </w:rPr>
              <w:t xml:space="preserve">, Транзакційні документи, а також всі інші </w:t>
            </w:r>
            <w:r w:rsidRPr="00A43979">
              <w:rPr>
                <w:rFonts w:ascii="Garamond" w:hAnsi="Garamond"/>
                <w:bCs/>
                <w:spacing w:val="-6"/>
                <w:sz w:val="22"/>
                <w:szCs w:val="22"/>
                <w:lang w:eastAsia="ru-RU"/>
              </w:rPr>
              <w:t xml:space="preserve">свідоцтва, розпорядження, довідки, сертифікати, повідомлення та інші документи, які повинні укладатися, видаватися, випускатися або підписуватися Товариством згідно або </w:t>
            </w:r>
            <w:r w:rsidRPr="00A43979">
              <w:rPr>
                <w:rFonts w:ascii="Garamond" w:hAnsi="Garamond"/>
                <w:spacing w:val="-6"/>
                <w:sz w:val="22"/>
                <w:szCs w:val="22"/>
                <w:lang w:eastAsia="ru-RU"/>
              </w:rPr>
              <w:t>у зв'язку з випуском та розміщенням Нових Облігацій та/або рефінансуванням та/або частковим/повним погашенням та/або перевипуском та/або зміною умов випуску таких Нових Облігацій та/або у зв'язку з</w:t>
            </w:r>
            <w:r w:rsidRPr="00A43979">
              <w:rPr>
                <w:rFonts w:ascii="Garamond" w:hAnsi="Garamond"/>
                <w:bCs/>
                <w:spacing w:val="-6"/>
                <w:sz w:val="22"/>
                <w:szCs w:val="22"/>
                <w:lang w:eastAsia="ru-RU"/>
              </w:rPr>
              <w:t xml:space="preserve"> Договором поруки</w:t>
            </w:r>
            <w:r w:rsidRPr="00A43979">
              <w:rPr>
                <w:rFonts w:ascii="Garamond" w:hAnsi="Garamond"/>
                <w:spacing w:val="-6"/>
                <w:sz w:val="22"/>
                <w:szCs w:val="22"/>
                <w:lang w:eastAsia="ru-RU"/>
              </w:rPr>
              <w:t xml:space="preserve"> та/або іншими Транзакційними документами.</w:t>
            </w:r>
          </w:p>
        </w:tc>
      </w:tr>
      <w:tr w:rsidR="00CE3715" w:rsidRPr="00A43979" w14:paraId="653F278C" w14:textId="77777777" w:rsidTr="008C5706">
        <w:tc>
          <w:tcPr>
            <w:tcW w:w="507" w:type="dxa"/>
            <w:vAlign w:val="center"/>
          </w:tcPr>
          <w:p w14:paraId="4846CEF4" w14:textId="77777777" w:rsidR="00CE3715" w:rsidRPr="00A43979" w:rsidRDefault="00CE3715" w:rsidP="008C5706">
            <w:pPr>
              <w:jc w:val="center"/>
              <w:rPr>
                <w:rFonts w:ascii="Garamond" w:hAnsi="Garamond"/>
                <w:spacing w:val="-6"/>
                <w:sz w:val="22"/>
                <w:szCs w:val="22"/>
              </w:rPr>
            </w:pPr>
            <w:r w:rsidRPr="00A43979">
              <w:rPr>
                <w:rFonts w:ascii="Garamond" w:hAnsi="Garamond"/>
                <w:color w:val="000000"/>
                <w:spacing w:val="-6"/>
                <w:sz w:val="22"/>
                <w:szCs w:val="22"/>
                <w:lang w:val="ru-UA"/>
              </w:rPr>
              <w:lastRenderedPageBreak/>
              <w:t>2</w:t>
            </w:r>
            <w:r w:rsidRPr="00A43979">
              <w:rPr>
                <w:rFonts w:ascii="Garamond" w:hAnsi="Garamond"/>
                <w:color w:val="000000"/>
                <w:spacing w:val="-6"/>
                <w:sz w:val="22"/>
                <w:szCs w:val="22"/>
              </w:rPr>
              <w:t>.</w:t>
            </w:r>
          </w:p>
        </w:tc>
        <w:tc>
          <w:tcPr>
            <w:tcW w:w="3052" w:type="dxa"/>
            <w:vAlign w:val="center"/>
          </w:tcPr>
          <w:p w14:paraId="5F7E3204" w14:textId="77777777" w:rsidR="00CE3715" w:rsidRPr="00A43979" w:rsidRDefault="00CE3715" w:rsidP="008C5706">
            <w:pPr>
              <w:rPr>
                <w:rFonts w:ascii="Garamond" w:hAnsi="Garamond"/>
                <w:spacing w:val="-6"/>
                <w:sz w:val="22"/>
                <w:szCs w:val="22"/>
                <w:lang w:val="ru-UA"/>
              </w:rPr>
            </w:pPr>
            <w:r w:rsidRPr="00A43979">
              <w:rPr>
                <w:rFonts w:ascii="Garamond" w:hAnsi="Garamond"/>
                <w:spacing w:val="-6"/>
                <w:sz w:val="22"/>
                <w:szCs w:val="22"/>
              </w:rPr>
              <w:t xml:space="preserve">Надання згоди на вчинення Товариством правочинів, щодо </w:t>
            </w:r>
            <w:r w:rsidRPr="00A43979">
              <w:rPr>
                <w:rFonts w:ascii="Garamond" w:hAnsi="Garamond"/>
                <w:spacing w:val="-6"/>
                <w:sz w:val="22"/>
                <w:szCs w:val="22"/>
              </w:rPr>
              <w:lastRenderedPageBreak/>
              <w:t>вчинення яких є заінтересованість</w:t>
            </w:r>
            <w:r w:rsidRPr="00A43979">
              <w:rPr>
                <w:rFonts w:ascii="Garamond" w:hAnsi="Garamond"/>
                <w:spacing w:val="-6"/>
                <w:sz w:val="22"/>
                <w:szCs w:val="22"/>
                <w:lang w:val="ru-UA"/>
              </w:rPr>
              <w:t>.</w:t>
            </w:r>
          </w:p>
        </w:tc>
        <w:tc>
          <w:tcPr>
            <w:tcW w:w="5934" w:type="dxa"/>
            <w:vAlign w:val="center"/>
          </w:tcPr>
          <w:p w14:paraId="0751B952" w14:textId="77777777" w:rsidR="00CE3715" w:rsidRPr="00A43979" w:rsidRDefault="00CE3715" w:rsidP="008C5706">
            <w:pPr>
              <w:pStyle w:val="a4"/>
              <w:numPr>
                <w:ilvl w:val="1"/>
                <w:numId w:val="6"/>
              </w:numPr>
              <w:ind w:left="602" w:hanging="602"/>
              <w:jc w:val="both"/>
              <w:rPr>
                <w:rFonts w:ascii="Garamond" w:hAnsi="Garamond" w:cs="Times New Roman"/>
                <w:color w:val="000000" w:themeColor="text1"/>
                <w:spacing w:val="-6"/>
                <w:sz w:val="22"/>
                <w:szCs w:val="22"/>
                <w:lang w:val="uk-UA"/>
              </w:rPr>
            </w:pPr>
            <w:r w:rsidRPr="00A43979">
              <w:rPr>
                <w:rFonts w:ascii="Garamond" w:hAnsi="Garamond"/>
                <w:bCs/>
                <w:spacing w:val="-6"/>
                <w:sz w:val="22"/>
                <w:szCs w:val="22"/>
                <w:lang w:val="ru-UA" w:eastAsia="ru-RU"/>
              </w:rPr>
              <w:lastRenderedPageBreak/>
              <w:t xml:space="preserve">Надати згоду на вчинення Товариством Договору поруки та інших Транзакційних документів, які є правочинами, щодо </w:t>
            </w:r>
            <w:r w:rsidRPr="00A43979">
              <w:rPr>
                <w:rFonts w:ascii="Garamond" w:hAnsi="Garamond"/>
                <w:bCs/>
                <w:spacing w:val="-6"/>
                <w:sz w:val="22"/>
                <w:szCs w:val="22"/>
                <w:lang w:val="ru-UA" w:eastAsia="ru-RU"/>
              </w:rPr>
              <w:lastRenderedPageBreak/>
              <w:t>вчинення яких є заінтересованість, з урахуванням того, що Виконавчий орган Товариства, або особа, що тимчасово виконує його обов’язки, або інша особа, уповноважена на це довіреністю, виданою Виконавчим органом Товариства або особою, що тимчасово виконує його обов’язки, без необхідності отримання окремого рішення (згоди, схвалення) Загальних зборів акціонерів та/або Наглядової ради Товариства, може на свій розсуд визначати, змінювати та остаточно погоджувати всі умови проектів Договору поруки та інших Транзакційних документів, окрім умов Нових Облігацій, яких стосуються такі договори та документи і які зазначені у пункті 1.1.1 цього рішення Загальних зборів акціонерів.</w:t>
            </w:r>
          </w:p>
        </w:tc>
      </w:tr>
    </w:tbl>
    <w:p w14:paraId="42DD1EDE" w14:textId="77777777" w:rsidR="00CE3715" w:rsidRPr="00A43979" w:rsidRDefault="00CE3715" w:rsidP="00CE3715">
      <w:pPr>
        <w:contextualSpacing/>
        <w:jc w:val="both"/>
        <w:rPr>
          <w:rFonts w:ascii="Garamond" w:hAnsi="Garamond"/>
          <w:spacing w:val="-6"/>
          <w:sz w:val="22"/>
          <w:szCs w:val="22"/>
        </w:rPr>
      </w:pPr>
      <w:r w:rsidRPr="00A43979">
        <w:rPr>
          <w:rFonts w:ascii="Garamond" w:hAnsi="Garamond"/>
          <w:spacing w:val="-6"/>
          <w:sz w:val="22"/>
          <w:szCs w:val="22"/>
        </w:rPr>
        <w:lastRenderedPageBreak/>
        <w:t>Звертаємо Вашу увагу, що відповідно до законодавства акціонери Товариства не мають право вносити пропозиції до порядку денного цих позачергових Загальних зборів Товариства.</w:t>
      </w:r>
    </w:p>
    <w:p w14:paraId="37F611E7" w14:textId="77777777" w:rsidR="00CE3715" w:rsidRPr="00A43979" w:rsidRDefault="00CE3715" w:rsidP="00CE3715">
      <w:pPr>
        <w:contextualSpacing/>
        <w:jc w:val="both"/>
        <w:rPr>
          <w:rFonts w:ascii="Garamond" w:hAnsi="Garamond"/>
          <w:spacing w:val="-6"/>
          <w:sz w:val="22"/>
          <w:szCs w:val="22"/>
        </w:rPr>
      </w:pPr>
    </w:p>
    <w:p w14:paraId="761989EE" w14:textId="6657E22A" w:rsidR="00CE3715" w:rsidRPr="00A43979" w:rsidRDefault="00CE3715" w:rsidP="00CE3715">
      <w:pPr>
        <w:contextualSpacing/>
        <w:jc w:val="both"/>
        <w:rPr>
          <w:rFonts w:ascii="Garamond" w:hAnsi="Garamond"/>
          <w:spacing w:val="-6"/>
          <w:sz w:val="22"/>
          <w:szCs w:val="22"/>
        </w:rPr>
      </w:pPr>
      <w:r w:rsidRPr="00A43979">
        <w:rPr>
          <w:rFonts w:ascii="Garamond" w:hAnsi="Garamond"/>
          <w:spacing w:val="-6"/>
          <w:sz w:val="22"/>
          <w:szCs w:val="22"/>
        </w:rPr>
        <w:t xml:space="preserve">Перелік акціонерів </w:t>
      </w:r>
      <w:r w:rsidRPr="00A43979">
        <w:rPr>
          <w:rFonts w:ascii="Garamond" w:hAnsi="Garamond"/>
          <w:bCs/>
          <w:color w:val="000000"/>
          <w:spacing w:val="-6"/>
          <w:sz w:val="22"/>
          <w:szCs w:val="22"/>
        </w:rPr>
        <w:t>АТ «СВІТЛО ШАХТАРЯ»</w:t>
      </w:r>
      <w:r w:rsidRPr="00A43979">
        <w:rPr>
          <w:rFonts w:ascii="Garamond" w:hAnsi="Garamond"/>
          <w:bCs/>
          <w:spacing w:val="-6"/>
          <w:sz w:val="22"/>
          <w:szCs w:val="22"/>
        </w:rPr>
        <w:t>,</w:t>
      </w:r>
      <w:r w:rsidRPr="00A43979">
        <w:rPr>
          <w:rFonts w:ascii="Garamond" w:hAnsi="Garamond"/>
          <w:spacing w:val="-6"/>
          <w:sz w:val="22"/>
          <w:szCs w:val="22"/>
        </w:rPr>
        <w:t xml:space="preserve"> які мають право на участь у позачергових Загальних зборах Товариства, призначених на </w:t>
      </w:r>
      <w:r w:rsidRPr="00A43979">
        <w:rPr>
          <w:rFonts w:ascii="Garamond" w:hAnsi="Garamond"/>
          <w:spacing w:val="-6"/>
          <w:sz w:val="22"/>
          <w:szCs w:val="22"/>
          <w:lang w:val="ru-RU"/>
        </w:rPr>
        <w:t>0</w:t>
      </w:r>
      <w:r>
        <w:rPr>
          <w:rFonts w:ascii="Garamond" w:hAnsi="Garamond"/>
          <w:spacing w:val="-6"/>
          <w:sz w:val="22"/>
          <w:szCs w:val="22"/>
          <w:lang w:val="ru-UA"/>
        </w:rPr>
        <w:t>8</w:t>
      </w:r>
      <w:r w:rsidRPr="00A43979">
        <w:rPr>
          <w:rFonts w:ascii="Garamond" w:hAnsi="Garamond"/>
          <w:spacing w:val="-6"/>
          <w:sz w:val="22"/>
          <w:szCs w:val="22"/>
          <w:lang w:val="ru-RU"/>
        </w:rPr>
        <w:t xml:space="preserve"> квітня 2021 року</w:t>
      </w:r>
      <w:r w:rsidRPr="00A43979">
        <w:rPr>
          <w:rFonts w:ascii="Garamond" w:hAnsi="Garamond"/>
          <w:spacing w:val="-6"/>
          <w:sz w:val="22"/>
          <w:szCs w:val="22"/>
        </w:rPr>
        <w:t xml:space="preserve">, складається станом на 24 годину </w:t>
      </w:r>
      <w:bookmarkStart w:id="2" w:name="_Hlk53180061"/>
      <w:r w:rsidRPr="00A43979">
        <w:rPr>
          <w:rFonts w:ascii="Garamond" w:hAnsi="Garamond"/>
          <w:spacing w:val="-6"/>
          <w:sz w:val="22"/>
          <w:szCs w:val="22"/>
        </w:rPr>
        <w:t>0</w:t>
      </w:r>
      <w:r w:rsidR="002A6104">
        <w:rPr>
          <w:rFonts w:ascii="Garamond" w:hAnsi="Garamond"/>
          <w:spacing w:val="-6"/>
          <w:sz w:val="22"/>
          <w:szCs w:val="22"/>
          <w:lang w:val="ru-UA"/>
        </w:rPr>
        <w:t>2</w:t>
      </w:r>
      <w:r w:rsidRPr="00A43979">
        <w:rPr>
          <w:rFonts w:ascii="Garamond" w:hAnsi="Garamond"/>
          <w:spacing w:val="-6"/>
          <w:sz w:val="22"/>
          <w:szCs w:val="22"/>
        </w:rPr>
        <w:t xml:space="preserve"> квітня 2021 року</w:t>
      </w:r>
      <w:bookmarkEnd w:id="2"/>
      <w:r w:rsidRPr="00A43979">
        <w:rPr>
          <w:rFonts w:ascii="Garamond" w:hAnsi="Garamond"/>
          <w:spacing w:val="-6"/>
          <w:sz w:val="22"/>
          <w:szCs w:val="22"/>
        </w:rPr>
        <w:t>.</w:t>
      </w:r>
    </w:p>
    <w:p w14:paraId="4CCD6672" w14:textId="77777777" w:rsidR="00CE3715" w:rsidRPr="00A43979" w:rsidRDefault="00CE3715" w:rsidP="00CE3715">
      <w:pPr>
        <w:spacing w:before="240" w:after="240"/>
        <w:contextualSpacing/>
        <w:jc w:val="both"/>
        <w:rPr>
          <w:rFonts w:ascii="Garamond" w:hAnsi="Garamond"/>
          <w:color w:val="000000"/>
          <w:spacing w:val="-6"/>
          <w:sz w:val="22"/>
          <w:szCs w:val="22"/>
        </w:rPr>
      </w:pPr>
    </w:p>
    <w:p w14:paraId="7EE00E55" w14:textId="77777777" w:rsidR="00CE3715" w:rsidRPr="00A43979" w:rsidRDefault="00CE3715" w:rsidP="00CE3715">
      <w:pPr>
        <w:spacing w:before="240" w:after="240"/>
        <w:contextualSpacing/>
        <w:jc w:val="both"/>
        <w:rPr>
          <w:rFonts w:ascii="Garamond" w:hAnsi="Garamond"/>
          <w:color w:val="000000"/>
          <w:spacing w:val="-6"/>
          <w:sz w:val="22"/>
          <w:szCs w:val="22"/>
        </w:rPr>
      </w:pPr>
      <w:r w:rsidRPr="00A43979">
        <w:rPr>
          <w:rFonts w:ascii="Garamond" w:hAnsi="Garamond"/>
          <w:color w:val="000000"/>
          <w:spacing w:val="-6"/>
          <w:sz w:val="22"/>
          <w:szCs w:val="22"/>
        </w:rPr>
        <w:t xml:space="preserve">Дата складання переліку акціонерів </w:t>
      </w:r>
      <w:r w:rsidRPr="00A43979">
        <w:rPr>
          <w:rFonts w:ascii="Garamond" w:hAnsi="Garamond"/>
          <w:bCs/>
          <w:color w:val="000000"/>
          <w:spacing w:val="-6"/>
          <w:sz w:val="22"/>
          <w:szCs w:val="22"/>
        </w:rPr>
        <w:t xml:space="preserve">АТ «СВІТЛО ШАХТАРЯ» </w:t>
      </w:r>
      <w:r w:rsidRPr="00A43979">
        <w:rPr>
          <w:rFonts w:ascii="Garamond" w:hAnsi="Garamond"/>
          <w:color w:val="000000"/>
          <w:spacing w:val="-6"/>
          <w:sz w:val="22"/>
          <w:szCs w:val="22"/>
        </w:rPr>
        <w:t xml:space="preserve">для здійснення персонального повідомлення про дистанційне проведення </w:t>
      </w:r>
      <w:r w:rsidRPr="00A43979">
        <w:rPr>
          <w:rFonts w:ascii="Garamond" w:hAnsi="Garamond"/>
          <w:spacing w:val="-6"/>
          <w:sz w:val="22"/>
          <w:szCs w:val="22"/>
        </w:rPr>
        <w:t>0</w:t>
      </w:r>
      <w:r>
        <w:rPr>
          <w:rFonts w:ascii="Garamond" w:hAnsi="Garamond"/>
          <w:spacing w:val="-6"/>
          <w:sz w:val="22"/>
          <w:szCs w:val="22"/>
          <w:lang w:val="ru-UA"/>
        </w:rPr>
        <w:t>8</w:t>
      </w:r>
      <w:r w:rsidRPr="00A43979">
        <w:rPr>
          <w:rFonts w:ascii="Garamond" w:hAnsi="Garamond"/>
          <w:spacing w:val="-6"/>
          <w:sz w:val="22"/>
          <w:szCs w:val="22"/>
        </w:rPr>
        <w:t xml:space="preserve"> квітня 2021 року</w:t>
      </w:r>
      <w:r w:rsidRPr="00A43979">
        <w:rPr>
          <w:rFonts w:ascii="Garamond" w:hAnsi="Garamond"/>
          <w:color w:val="000000"/>
          <w:spacing w:val="-6"/>
          <w:sz w:val="22"/>
          <w:szCs w:val="22"/>
        </w:rPr>
        <w:t xml:space="preserve"> позачергових Загальних зборів Товариства – 11 березня 202</w:t>
      </w:r>
      <w:r w:rsidRPr="00A43979">
        <w:rPr>
          <w:rFonts w:ascii="Garamond" w:hAnsi="Garamond"/>
          <w:color w:val="000000"/>
          <w:spacing w:val="-6"/>
          <w:sz w:val="22"/>
          <w:szCs w:val="22"/>
          <w:lang w:val="ru-RU"/>
        </w:rPr>
        <w:t>1</w:t>
      </w:r>
      <w:r w:rsidRPr="00A43979">
        <w:rPr>
          <w:rFonts w:ascii="Garamond" w:hAnsi="Garamond"/>
          <w:color w:val="000000"/>
          <w:spacing w:val="-6"/>
          <w:sz w:val="22"/>
          <w:szCs w:val="22"/>
        </w:rPr>
        <w:t xml:space="preserve"> року.</w:t>
      </w:r>
    </w:p>
    <w:p w14:paraId="7492DACC" w14:textId="77777777" w:rsidR="00CE3715" w:rsidRPr="00A43979" w:rsidRDefault="00CE3715" w:rsidP="00CE3715">
      <w:pPr>
        <w:contextualSpacing/>
        <w:jc w:val="both"/>
        <w:rPr>
          <w:rFonts w:ascii="Garamond" w:hAnsi="Garamond"/>
          <w:color w:val="000000"/>
          <w:spacing w:val="-6"/>
          <w:sz w:val="22"/>
          <w:szCs w:val="22"/>
        </w:rPr>
      </w:pPr>
    </w:p>
    <w:p w14:paraId="40E0B121"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 xml:space="preserve">Реєстрація учасників позачергових Загальних зборів Товариства буде здійснюватися Реєстраційною комісією </w:t>
      </w:r>
      <w:r w:rsidRPr="00A43979">
        <w:rPr>
          <w:rFonts w:ascii="Garamond" w:hAnsi="Garamond"/>
          <w:bCs/>
          <w:color w:val="000000"/>
          <w:spacing w:val="-6"/>
          <w:sz w:val="22"/>
          <w:szCs w:val="22"/>
        </w:rPr>
        <w:t>АТ «СВІТЛО ШАХТАРЯ»</w:t>
      </w:r>
      <w:r w:rsidRPr="00A43979">
        <w:rPr>
          <w:rFonts w:ascii="Garamond" w:hAnsi="Garamond"/>
          <w:color w:val="000000"/>
          <w:spacing w:val="-6"/>
          <w:sz w:val="22"/>
          <w:szCs w:val="22"/>
        </w:rPr>
        <w:t xml:space="preserve"> на підставі документів, отриманих від Центрального депозитарію відповідно до Розділу XIV </w:t>
      </w:r>
      <w:r w:rsidRPr="00A43979">
        <w:rPr>
          <w:rFonts w:ascii="Garamond" w:hAnsi="Garamond"/>
          <w:spacing w:val="-6"/>
          <w:sz w:val="22"/>
          <w:szCs w:val="22"/>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16 квітня 2020 року № 196 (надалі – «</w:t>
      </w:r>
      <w:r w:rsidRPr="00A43979">
        <w:rPr>
          <w:rFonts w:ascii="Garamond" w:hAnsi="Garamond"/>
          <w:b/>
          <w:bCs/>
          <w:spacing w:val="-6"/>
          <w:sz w:val="22"/>
          <w:szCs w:val="22"/>
        </w:rPr>
        <w:t>Порядок</w:t>
      </w:r>
      <w:r w:rsidRPr="00A43979">
        <w:rPr>
          <w:rFonts w:ascii="Garamond" w:hAnsi="Garamond"/>
          <w:spacing w:val="-6"/>
          <w:sz w:val="22"/>
          <w:szCs w:val="22"/>
        </w:rPr>
        <w:t>»)</w:t>
      </w:r>
      <w:r w:rsidRPr="00A43979">
        <w:rPr>
          <w:rFonts w:ascii="Garamond" w:hAnsi="Garamond"/>
          <w:color w:val="000000"/>
          <w:spacing w:val="-6"/>
          <w:sz w:val="22"/>
          <w:szCs w:val="22"/>
        </w:rPr>
        <w:t xml:space="preserve">.  </w:t>
      </w:r>
    </w:p>
    <w:p w14:paraId="06F823EC" w14:textId="77777777" w:rsidR="00CE3715" w:rsidRPr="00A43979" w:rsidRDefault="00CE3715" w:rsidP="00CE3715">
      <w:pPr>
        <w:contextualSpacing/>
        <w:jc w:val="both"/>
        <w:rPr>
          <w:rFonts w:ascii="Garamond" w:hAnsi="Garamond"/>
          <w:color w:val="000000"/>
          <w:spacing w:val="-6"/>
          <w:sz w:val="22"/>
          <w:szCs w:val="22"/>
        </w:rPr>
      </w:pPr>
    </w:p>
    <w:p w14:paraId="7886BB8B"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Позачергові Загальні збори Товариства</w:t>
      </w:r>
      <w:r w:rsidRPr="00A43979" w:rsidDel="00A96DD2">
        <w:rPr>
          <w:rFonts w:ascii="Garamond" w:hAnsi="Garamond"/>
          <w:color w:val="000000"/>
          <w:spacing w:val="-6"/>
          <w:sz w:val="22"/>
          <w:szCs w:val="22"/>
        </w:rPr>
        <w:t xml:space="preserve"> </w:t>
      </w:r>
      <w:r w:rsidRPr="00A43979">
        <w:rPr>
          <w:rFonts w:ascii="Garamond" w:hAnsi="Garamond"/>
          <w:color w:val="000000"/>
          <w:spacing w:val="-6"/>
          <w:sz w:val="22"/>
          <w:szCs w:val="22"/>
        </w:rPr>
        <w:t>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14:paraId="63D5C725" w14:textId="77777777" w:rsidR="00CE3715" w:rsidRPr="00A43979" w:rsidRDefault="00CE3715" w:rsidP="00CE3715">
      <w:pPr>
        <w:contextualSpacing/>
        <w:jc w:val="both"/>
        <w:rPr>
          <w:rFonts w:ascii="Garamond" w:hAnsi="Garamond"/>
          <w:color w:val="000000"/>
          <w:spacing w:val="-6"/>
          <w:sz w:val="22"/>
          <w:szCs w:val="22"/>
        </w:rPr>
      </w:pPr>
    </w:p>
    <w:p w14:paraId="1B45B5D4" w14:textId="77777777" w:rsidR="00CE3715" w:rsidRPr="00A43979" w:rsidRDefault="00CE3715" w:rsidP="00CE3715">
      <w:pPr>
        <w:contextualSpacing/>
        <w:jc w:val="both"/>
        <w:rPr>
          <w:rFonts w:ascii="Garamond" w:hAnsi="Garamond"/>
          <w:spacing w:val="-6"/>
          <w:sz w:val="22"/>
          <w:szCs w:val="22"/>
        </w:rPr>
      </w:pPr>
      <w:r w:rsidRPr="00A43979">
        <w:rPr>
          <w:rFonts w:ascii="Garamond" w:hAnsi="Garamond"/>
          <w:spacing w:val="-6"/>
          <w:sz w:val="22"/>
          <w:szCs w:val="22"/>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5C5D4242" w14:textId="77777777" w:rsidR="00CE3715" w:rsidRPr="00A43979" w:rsidRDefault="00CE3715" w:rsidP="00CE3715">
      <w:pPr>
        <w:contextualSpacing/>
        <w:jc w:val="both"/>
        <w:rPr>
          <w:rFonts w:ascii="Garamond" w:hAnsi="Garamond"/>
          <w:spacing w:val="-6"/>
          <w:sz w:val="22"/>
          <w:szCs w:val="22"/>
        </w:rPr>
      </w:pPr>
    </w:p>
    <w:p w14:paraId="00C3B951"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Акціонери Товариства та їх представники можуть ознайомитися на веб-сайті Товариства (</w:t>
      </w:r>
      <w:r w:rsidRPr="00A43979">
        <w:rPr>
          <w:rStyle w:val="af2"/>
          <w:rFonts w:ascii="Garamond" w:hAnsi="Garamond"/>
          <w:spacing w:val="-6"/>
          <w:sz w:val="22"/>
          <w:szCs w:val="22"/>
        </w:rPr>
        <w:t>http://www.shaht.kharkov.ua/files/index_1.html</w:t>
      </w:r>
      <w:r w:rsidRPr="00A43979">
        <w:rPr>
          <w:rFonts w:ascii="Garamond" w:hAnsi="Garamond"/>
          <w:color w:val="000000"/>
          <w:spacing w:val="-6"/>
          <w:sz w:val="22"/>
          <w:szCs w:val="22"/>
        </w:rPr>
        <w:t>) в розділі «Інформація для</w:t>
      </w:r>
      <w:r w:rsidRPr="00A43979">
        <w:rPr>
          <w:rFonts w:ascii="Garamond" w:hAnsi="Garamond"/>
          <w:color w:val="000000"/>
          <w:spacing w:val="-6"/>
          <w:sz w:val="22"/>
          <w:szCs w:val="22"/>
          <w:lang w:val="ru-UA"/>
        </w:rPr>
        <w:t xml:space="preserve"> </w:t>
      </w:r>
      <w:r w:rsidRPr="00A43979">
        <w:rPr>
          <w:rFonts w:ascii="Garamond" w:hAnsi="Garamond"/>
          <w:color w:val="000000"/>
          <w:spacing w:val="-6"/>
          <w:sz w:val="22"/>
          <w:szCs w:val="22"/>
        </w:rPr>
        <w:t>акціонерів» (</w:t>
      </w:r>
      <w:r w:rsidRPr="00A43979">
        <w:rPr>
          <w:rStyle w:val="af2"/>
          <w:rFonts w:ascii="Garamond" w:hAnsi="Garamond"/>
          <w:spacing w:val="-6"/>
          <w:sz w:val="22"/>
          <w:szCs w:val="22"/>
        </w:rPr>
        <w:t>http://www.shaht.kharkov.ua/files/forShareholder.html</w:t>
      </w:r>
      <w:r w:rsidRPr="00A43979">
        <w:rPr>
          <w:rFonts w:ascii="Garamond" w:hAnsi="Garamond"/>
          <w:color w:val="000000"/>
          <w:spacing w:val="-6"/>
          <w:sz w:val="22"/>
          <w:szCs w:val="22"/>
        </w:rPr>
        <w:t xml:space="preserve">) з проектами рішень щодо кожного питання порядку денного позачергових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позачергових Загальних зборах, скликаних на </w:t>
      </w:r>
      <w:r w:rsidRPr="00A43979">
        <w:rPr>
          <w:rFonts w:ascii="Garamond" w:hAnsi="Garamond"/>
          <w:spacing w:val="-6"/>
          <w:sz w:val="22"/>
          <w:szCs w:val="22"/>
        </w:rPr>
        <w:t>0</w:t>
      </w:r>
      <w:r>
        <w:rPr>
          <w:rFonts w:ascii="Garamond" w:hAnsi="Garamond"/>
          <w:spacing w:val="-6"/>
          <w:sz w:val="22"/>
          <w:szCs w:val="22"/>
          <w:lang w:val="ru-UA"/>
        </w:rPr>
        <w:t>8</w:t>
      </w:r>
      <w:r w:rsidRPr="00A43979">
        <w:rPr>
          <w:rFonts w:ascii="Garamond" w:hAnsi="Garamond"/>
          <w:spacing w:val="-6"/>
          <w:sz w:val="22"/>
          <w:szCs w:val="22"/>
        </w:rPr>
        <w:t xml:space="preserve"> квітня 2021 року</w:t>
      </w:r>
      <w:r w:rsidRPr="00A43979">
        <w:rPr>
          <w:rFonts w:ascii="Garamond" w:hAnsi="Garamond"/>
          <w:color w:val="000000"/>
          <w:spacing w:val="-6"/>
          <w:sz w:val="22"/>
          <w:szCs w:val="22"/>
        </w:rPr>
        <w:t>.</w:t>
      </w:r>
    </w:p>
    <w:p w14:paraId="6FA91C02" w14:textId="77777777" w:rsidR="00CE3715" w:rsidRPr="00A43979" w:rsidRDefault="00CE3715" w:rsidP="00CE3715">
      <w:pPr>
        <w:contextualSpacing/>
        <w:jc w:val="both"/>
        <w:rPr>
          <w:rFonts w:ascii="Garamond" w:hAnsi="Garamond"/>
          <w:color w:val="000000"/>
          <w:spacing w:val="-6"/>
          <w:sz w:val="22"/>
          <w:szCs w:val="22"/>
        </w:rPr>
      </w:pPr>
    </w:p>
    <w:p w14:paraId="45A472C9"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позачергових Загальних зборів,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відповідальної за порядок ознайомлення акціонерів з документами. Посадовою особою </w:t>
      </w:r>
      <w:bookmarkStart w:id="3" w:name="_Hlk53156934"/>
      <w:r w:rsidRPr="00A43979">
        <w:rPr>
          <w:rFonts w:ascii="Garamond" w:hAnsi="Garamond"/>
          <w:bCs/>
          <w:color w:val="000000"/>
          <w:spacing w:val="-6"/>
          <w:sz w:val="22"/>
          <w:szCs w:val="22"/>
        </w:rPr>
        <w:t>АТ «СВІТЛО ШАХТАРЯ»</w:t>
      </w:r>
      <w:bookmarkEnd w:id="3"/>
      <w:r w:rsidRPr="00A43979">
        <w:rPr>
          <w:rFonts w:ascii="Garamond" w:hAnsi="Garamond"/>
          <w:color w:val="000000"/>
          <w:spacing w:val="-6"/>
          <w:sz w:val="22"/>
          <w:szCs w:val="22"/>
        </w:rPr>
        <w:t xml:space="preserve">, відповідальною за порядок ознайомлення акціонерів з документами, є Керівник Департаменту корпоративного управління Товариства – Г.Г. Висоцький контактний номер: +38 (057) 733-18-25. </w:t>
      </w:r>
    </w:p>
    <w:p w14:paraId="50D46A5A" w14:textId="77777777" w:rsidR="00CE3715" w:rsidRPr="00A43979" w:rsidRDefault="00CE3715" w:rsidP="00CE3715">
      <w:pPr>
        <w:contextualSpacing/>
        <w:jc w:val="both"/>
        <w:rPr>
          <w:rFonts w:ascii="Garamond" w:hAnsi="Garamond"/>
          <w:color w:val="000000"/>
          <w:spacing w:val="-6"/>
          <w:sz w:val="22"/>
          <w:szCs w:val="22"/>
        </w:rPr>
      </w:pPr>
    </w:p>
    <w:p w14:paraId="0000D6AA"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Товариство до дати дистанційного проведення позачергових 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3B37F4AD" w14:textId="77777777" w:rsidR="00CE3715" w:rsidRPr="00A43979" w:rsidRDefault="00CE3715" w:rsidP="00CE3715">
      <w:pPr>
        <w:contextualSpacing/>
        <w:jc w:val="both"/>
        <w:rPr>
          <w:rFonts w:ascii="Garamond" w:hAnsi="Garamond"/>
          <w:color w:val="000000"/>
          <w:spacing w:val="-6"/>
          <w:sz w:val="22"/>
          <w:szCs w:val="22"/>
        </w:rPr>
      </w:pPr>
    </w:p>
    <w:p w14:paraId="6CB25E2C" w14:textId="77777777" w:rsidR="00CE3715" w:rsidRPr="00A43979" w:rsidRDefault="00CE3715" w:rsidP="00CE3715">
      <w:pPr>
        <w:contextualSpacing/>
        <w:jc w:val="both"/>
        <w:rPr>
          <w:rFonts w:ascii="Garamond" w:hAnsi="Garamond"/>
          <w:spacing w:val="-6"/>
          <w:sz w:val="22"/>
          <w:szCs w:val="22"/>
        </w:rPr>
      </w:pPr>
      <w:r w:rsidRPr="00A43979">
        <w:rPr>
          <w:rFonts w:ascii="Garamond" w:hAnsi="Garamond"/>
          <w:color w:val="000000"/>
          <w:spacing w:val="-6"/>
          <w:sz w:val="22"/>
          <w:szCs w:val="22"/>
        </w:rPr>
        <w:t xml:space="preserve">Адреса електронної пошти для запитів акціонера (його представників) щодо ознайомлення з матеріалами під час підготовки до загальних зборів та/або запитань щодо порядку денного загальних зборів та/або пропозицій до порядку денного загальних зборів та проектів рішень: </w:t>
      </w:r>
      <w:hyperlink r:id="rId11" w:history="1">
        <w:r w:rsidRPr="00A43979">
          <w:rPr>
            <w:rStyle w:val="af2"/>
            <w:rFonts w:ascii="Garamond" w:hAnsi="Garamond"/>
            <w:spacing w:val="-6"/>
            <w:sz w:val="22"/>
            <w:szCs w:val="22"/>
          </w:rPr>
          <w:t>visotskij.gennadij@corum.com</w:t>
        </w:r>
      </w:hyperlink>
      <w:r w:rsidRPr="00A43979">
        <w:rPr>
          <w:rFonts w:ascii="Garamond" w:hAnsi="Garamond"/>
          <w:spacing w:val="-6"/>
          <w:sz w:val="22"/>
          <w:szCs w:val="22"/>
        </w:rPr>
        <w:t>.</w:t>
      </w:r>
    </w:p>
    <w:p w14:paraId="11D3B6FF" w14:textId="77777777" w:rsidR="00CE3715" w:rsidRPr="00A43979" w:rsidRDefault="00CE3715" w:rsidP="00CE3715">
      <w:pPr>
        <w:contextualSpacing/>
        <w:jc w:val="both"/>
        <w:rPr>
          <w:rFonts w:ascii="Garamond" w:hAnsi="Garamond"/>
          <w:color w:val="000000"/>
          <w:spacing w:val="-6"/>
          <w:sz w:val="22"/>
          <w:szCs w:val="22"/>
        </w:rPr>
      </w:pPr>
    </w:p>
    <w:p w14:paraId="0220159B" w14:textId="77777777" w:rsidR="00CE3715" w:rsidRPr="00A43979" w:rsidRDefault="00CE3715" w:rsidP="00CE3715">
      <w:pPr>
        <w:contextualSpacing/>
        <w:jc w:val="both"/>
        <w:rPr>
          <w:rFonts w:ascii="Garamond" w:hAnsi="Garamond"/>
          <w:spacing w:val="-6"/>
          <w:sz w:val="22"/>
          <w:szCs w:val="22"/>
        </w:rPr>
      </w:pPr>
      <w:r w:rsidRPr="00A43979">
        <w:rPr>
          <w:rFonts w:ascii="Garamond" w:hAnsi="Garamond"/>
          <w:color w:val="000000"/>
          <w:spacing w:val="-6"/>
          <w:sz w:val="22"/>
          <w:szCs w:val="22"/>
        </w:rPr>
        <w:t xml:space="preserve">Порядок участі та голосування акціонерів особисто (їх представників за довіреністю) на позачергових Загальних зборах, що проводяться дистанційно, визначається відповідно до Розділів XIII, XV та XVII Порядку. </w:t>
      </w:r>
    </w:p>
    <w:p w14:paraId="23E97AEE" w14:textId="77777777" w:rsidR="00CE3715" w:rsidRPr="00A43979" w:rsidRDefault="00CE3715" w:rsidP="00CE3715">
      <w:pPr>
        <w:contextualSpacing/>
        <w:jc w:val="both"/>
        <w:rPr>
          <w:rFonts w:ascii="Garamond" w:hAnsi="Garamond"/>
          <w:color w:val="000000"/>
          <w:spacing w:val="-6"/>
          <w:sz w:val="22"/>
          <w:szCs w:val="22"/>
        </w:rPr>
      </w:pPr>
    </w:p>
    <w:p w14:paraId="4F1DC8F7"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на якому обліковуються належні такому акціонеру акції Товариства. 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44B387AB" w14:textId="77777777" w:rsidR="00CE3715" w:rsidRPr="00A43979" w:rsidRDefault="00CE3715" w:rsidP="00CE3715">
      <w:pPr>
        <w:contextualSpacing/>
        <w:jc w:val="both"/>
        <w:rPr>
          <w:rFonts w:ascii="Garamond" w:hAnsi="Garamond"/>
          <w:color w:val="000000"/>
          <w:spacing w:val="-6"/>
          <w:sz w:val="22"/>
          <w:szCs w:val="22"/>
        </w:rPr>
      </w:pPr>
    </w:p>
    <w:p w14:paraId="36688017" w14:textId="77777777" w:rsidR="00CE3715" w:rsidRPr="00A43979" w:rsidRDefault="00CE3715" w:rsidP="00CE3715">
      <w:pPr>
        <w:widowControl w:val="0"/>
        <w:pBdr>
          <w:top w:val="nil"/>
          <w:left w:val="nil"/>
          <w:bottom w:val="nil"/>
          <w:right w:val="nil"/>
          <w:between w:val="nil"/>
        </w:pBdr>
        <w:tabs>
          <w:tab w:val="left" w:pos="993"/>
        </w:tabs>
        <w:contextualSpacing/>
        <w:jc w:val="both"/>
        <w:rPr>
          <w:rFonts w:ascii="Garamond" w:hAnsi="Garamond"/>
          <w:color w:val="000000"/>
          <w:spacing w:val="-6"/>
          <w:sz w:val="22"/>
          <w:szCs w:val="22"/>
        </w:rPr>
      </w:pPr>
      <w:r w:rsidRPr="00A43979">
        <w:rPr>
          <w:rFonts w:ascii="Garamond" w:hAnsi="Garamond"/>
          <w:color w:val="000000"/>
          <w:spacing w:val="-6"/>
          <w:sz w:val="22"/>
          <w:szCs w:val="22"/>
        </w:rPr>
        <w:t>Голосування на Загальних зборах з питань порядку денного проводиться виключно з використанням бюлетенів.</w:t>
      </w:r>
    </w:p>
    <w:p w14:paraId="6206CB72" w14:textId="77777777" w:rsidR="00CE3715" w:rsidRPr="00A43979" w:rsidRDefault="00CE3715" w:rsidP="00CE3715">
      <w:pPr>
        <w:widowControl w:val="0"/>
        <w:pBdr>
          <w:top w:val="nil"/>
          <w:left w:val="nil"/>
          <w:bottom w:val="nil"/>
          <w:right w:val="nil"/>
          <w:between w:val="nil"/>
        </w:pBdr>
        <w:tabs>
          <w:tab w:val="left" w:pos="993"/>
        </w:tabs>
        <w:contextualSpacing/>
        <w:jc w:val="both"/>
        <w:rPr>
          <w:rFonts w:ascii="Garamond" w:hAnsi="Garamond"/>
          <w:color w:val="000000"/>
          <w:spacing w:val="-6"/>
          <w:sz w:val="22"/>
          <w:szCs w:val="22"/>
        </w:rPr>
      </w:pPr>
    </w:p>
    <w:p w14:paraId="39B7AD21" w14:textId="16A49C42"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spacing w:val="-6"/>
          <w:sz w:val="22"/>
          <w:szCs w:val="22"/>
        </w:rPr>
        <w:t xml:space="preserve">Товариство розміщує затверджений бюлетень для голосування на дистанційних позачергових Загальних зборах у вільному для акціонерів доступі на власному веб-сайті Товариства </w:t>
      </w:r>
      <w:r w:rsidRPr="00A43979">
        <w:rPr>
          <w:rFonts w:ascii="Garamond" w:hAnsi="Garamond"/>
          <w:color w:val="000000"/>
          <w:spacing w:val="-6"/>
          <w:sz w:val="22"/>
          <w:szCs w:val="22"/>
        </w:rPr>
        <w:t>в розділі «</w:t>
      </w:r>
      <w:r w:rsidRPr="00E866A0">
        <w:rPr>
          <w:rFonts w:ascii="Garamond" w:hAnsi="Garamond"/>
          <w:color w:val="000000"/>
          <w:spacing w:val="-6"/>
          <w:sz w:val="22"/>
          <w:szCs w:val="22"/>
        </w:rPr>
        <w:t>Інформація для акціонерів</w:t>
      </w:r>
      <w:r w:rsidRPr="00A43979">
        <w:rPr>
          <w:rFonts w:ascii="Garamond" w:hAnsi="Garamond"/>
          <w:color w:val="000000"/>
          <w:spacing w:val="-6"/>
          <w:sz w:val="22"/>
          <w:szCs w:val="22"/>
        </w:rPr>
        <w:t>» (</w:t>
      </w:r>
      <w:r w:rsidRPr="00A43979">
        <w:rPr>
          <w:rStyle w:val="af2"/>
          <w:rFonts w:ascii="Garamond" w:hAnsi="Garamond"/>
          <w:spacing w:val="-6"/>
          <w:sz w:val="22"/>
          <w:szCs w:val="22"/>
        </w:rPr>
        <w:t>http://www.shaht.kharkov.ua/files/forShareholder.html</w:t>
      </w:r>
      <w:r w:rsidRPr="00A43979">
        <w:rPr>
          <w:rFonts w:ascii="Garamond" w:hAnsi="Garamond"/>
          <w:color w:val="000000"/>
          <w:spacing w:val="-6"/>
          <w:sz w:val="22"/>
          <w:szCs w:val="22"/>
        </w:rPr>
        <w:t xml:space="preserve">). Дата розміщення бюлетенів для голосування – </w:t>
      </w:r>
      <w:r>
        <w:rPr>
          <w:rFonts w:ascii="Garamond" w:hAnsi="Garamond"/>
          <w:color w:val="000000"/>
          <w:spacing w:val="-6"/>
          <w:sz w:val="22"/>
          <w:szCs w:val="22"/>
          <w:lang w:val="ru-UA"/>
        </w:rPr>
        <w:t>0</w:t>
      </w:r>
      <w:r w:rsidR="0069212E" w:rsidRPr="00FC5153">
        <w:rPr>
          <w:rFonts w:ascii="Garamond" w:hAnsi="Garamond"/>
          <w:color w:val="000000"/>
          <w:spacing w:val="-6"/>
          <w:sz w:val="22"/>
          <w:szCs w:val="22"/>
          <w:lang w:val="ru-RU"/>
        </w:rPr>
        <w:t>2</w:t>
      </w:r>
      <w:r w:rsidRPr="00A43979">
        <w:rPr>
          <w:rFonts w:ascii="Garamond" w:hAnsi="Garamond"/>
          <w:color w:val="000000"/>
          <w:spacing w:val="-6"/>
          <w:sz w:val="22"/>
          <w:szCs w:val="22"/>
        </w:rPr>
        <w:t xml:space="preserve"> квітня 2021 року.</w:t>
      </w:r>
    </w:p>
    <w:p w14:paraId="5679A739" w14:textId="77777777" w:rsidR="00CE3715" w:rsidRPr="00A43979" w:rsidRDefault="00CE3715" w:rsidP="00CE3715">
      <w:pPr>
        <w:contextualSpacing/>
        <w:jc w:val="both"/>
        <w:rPr>
          <w:rFonts w:ascii="Garamond" w:hAnsi="Garamond"/>
          <w:color w:val="000000"/>
          <w:spacing w:val="-6"/>
          <w:sz w:val="22"/>
          <w:szCs w:val="22"/>
        </w:rPr>
      </w:pPr>
    </w:p>
    <w:p w14:paraId="1411268D"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color w:val="000000"/>
          <w:spacing w:val="-6"/>
          <w:sz w:val="22"/>
          <w:szCs w:val="22"/>
        </w:rPr>
        <w:t>Моментом початку голосування акціонерів є 11-00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7100B7D3" w14:textId="77777777" w:rsidR="00CE3715" w:rsidRPr="00A43979" w:rsidRDefault="00CE3715" w:rsidP="00CE3715">
      <w:pPr>
        <w:widowControl w:val="0"/>
        <w:pBdr>
          <w:top w:val="nil"/>
          <w:left w:val="nil"/>
          <w:bottom w:val="nil"/>
          <w:right w:val="nil"/>
          <w:between w:val="nil"/>
        </w:pBdr>
        <w:tabs>
          <w:tab w:val="left" w:pos="993"/>
        </w:tabs>
        <w:contextualSpacing/>
        <w:jc w:val="both"/>
        <w:rPr>
          <w:rFonts w:ascii="Garamond" w:hAnsi="Garamond"/>
          <w:color w:val="000000"/>
          <w:spacing w:val="-6"/>
          <w:sz w:val="22"/>
          <w:szCs w:val="22"/>
          <w:lang w:val="ru-RU"/>
        </w:rPr>
      </w:pPr>
    </w:p>
    <w:p w14:paraId="43991A3B" w14:textId="77777777" w:rsidR="00CE3715" w:rsidRPr="00A43979" w:rsidRDefault="00CE3715" w:rsidP="00CE3715">
      <w:pPr>
        <w:widowControl w:val="0"/>
        <w:pBdr>
          <w:top w:val="nil"/>
          <w:left w:val="nil"/>
          <w:bottom w:val="nil"/>
          <w:right w:val="nil"/>
          <w:between w:val="nil"/>
        </w:pBdr>
        <w:tabs>
          <w:tab w:val="left" w:pos="993"/>
        </w:tabs>
        <w:spacing w:before="240"/>
        <w:contextualSpacing/>
        <w:jc w:val="both"/>
        <w:rPr>
          <w:rFonts w:ascii="Garamond" w:hAnsi="Garamond"/>
          <w:color w:val="000000"/>
          <w:spacing w:val="-6"/>
          <w:sz w:val="22"/>
          <w:szCs w:val="22"/>
        </w:rPr>
      </w:pPr>
      <w:r w:rsidRPr="00A43979">
        <w:rPr>
          <w:rFonts w:ascii="Garamond" w:hAnsi="Garamond"/>
          <w:color w:val="000000"/>
          <w:spacing w:val="-6"/>
          <w:sz w:val="22"/>
          <w:szCs w:val="22"/>
        </w:rPr>
        <w:t xml:space="preserve">Бюлетень для голосування на позачергових Загальних зборах Товариства повинен бути засвідченим одним з наступних способів (за вибором акціонера): </w:t>
      </w:r>
    </w:p>
    <w:p w14:paraId="63901795" w14:textId="77777777" w:rsidR="00CE3715" w:rsidRPr="00A43979" w:rsidRDefault="00CE3715" w:rsidP="00CE3715">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pacing w:val="-6"/>
          <w:sz w:val="22"/>
          <w:szCs w:val="22"/>
        </w:rPr>
      </w:pPr>
      <w:r w:rsidRPr="00A43979">
        <w:rPr>
          <w:rFonts w:ascii="Garamond" w:hAnsi="Garamond"/>
          <w:color w:val="000000"/>
          <w:spacing w:val="-6"/>
          <w:sz w:val="22"/>
          <w:szCs w:val="22"/>
        </w:rPr>
        <w:t>за допомогою кваліфікованого електронного підпису акціонера (його представника);</w:t>
      </w:r>
    </w:p>
    <w:p w14:paraId="29E59A47" w14:textId="77777777" w:rsidR="00CE3715" w:rsidRPr="00A43979" w:rsidRDefault="00CE3715" w:rsidP="00CE3715">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pacing w:val="-6"/>
          <w:sz w:val="22"/>
          <w:szCs w:val="22"/>
        </w:rPr>
      </w:pPr>
      <w:r w:rsidRPr="00A43979">
        <w:rPr>
          <w:rFonts w:ascii="Garamond" w:hAnsi="Garamond"/>
          <w:color w:val="000000"/>
          <w:spacing w:val="-6"/>
          <w:sz w:val="22"/>
          <w:szCs w:val="22"/>
        </w:rPr>
        <w:t>нотаріально, за умови підписання бюлетеня в присутності нотаріуса або посадової особи, яка вчиняє нотаріальні дії;</w:t>
      </w:r>
    </w:p>
    <w:p w14:paraId="685C65E4" w14:textId="77777777" w:rsidR="00CE3715" w:rsidRPr="00A43979" w:rsidRDefault="00CE3715" w:rsidP="00CE3715">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pacing w:val="-6"/>
          <w:sz w:val="22"/>
          <w:szCs w:val="22"/>
        </w:rPr>
      </w:pPr>
      <w:r w:rsidRPr="00A43979">
        <w:rPr>
          <w:rFonts w:ascii="Garamond" w:hAnsi="Garamond"/>
          <w:color w:val="000000"/>
          <w:spacing w:val="-6"/>
          <w:sz w:val="22"/>
          <w:szCs w:val="22"/>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3BBDBC56" w14:textId="77777777" w:rsidR="00CE3715" w:rsidRPr="00A43979" w:rsidRDefault="00CE3715" w:rsidP="00CE3715">
      <w:pPr>
        <w:contextualSpacing/>
        <w:jc w:val="both"/>
        <w:rPr>
          <w:rFonts w:ascii="Garamond" w:hAnsi="Garamond"/>
          <w:color w:val="000000"/>
          <w:spacing w:val="-6"/>
          <w:sz w:val="22"/>
          <w:szCs w:val="22"/>
        </w:rPr>
      </w:pPr>
      <w:r w:rsidRPr="00A43979">
        <w:rPr>
          <w:rFonts w:ascii="Garamond" w:hAnsi="Garamond"/>
          <w:spacing w:val="-6"/>
          <w:sz w:val="22"/>
          <w:szCs w:val="22"/>
        </w:rPr>
        <w:t>Особам</w:t>
      </w:r>
      <w:r w:rsidRPr="00A43979">
        <w:rPr>
          <w:rFonts w:ascii="Garamond" w:hAnsi="Garamond"/>
          <w:color w:val="000000"/>
          <w:spacing w:val="-6"/>
          <w:sz w:val="22"/>
          <w:szCs w:val="22"/>
        </w:rPr>
        <w:t xml:space="preserve">, яким рахунок в цінних паперах відкрито депозитарною установою на підставі договору з емітентом, для забезпечення реалізації права на участь у дистанційних позачергових Загальних зборах необхідно укласти договір з депозитарними установами самостійно. </w:t>
      </w:r>
    </w:p>
    <w:p w14:paraId="78EF0748" w14:textId="77777777" w:rsidR="00CE3715" w:rsidRPr="00A43979" w:rsidRDefault="00CE3715" w:rsidP="00CE3715">
      <w:pPr>
        <w:jc w:val="both"/>
        <w:rPr>
          <w:rFonts w:ascii="Garamond" w:hAnsi="Garamond"/>
          <w:spacing w:val="-6"/>
          <w:sz w:val="22"/>
          <w:szCs w:val="22"/>
        </w:rPr>
      </w:pPr>
    </w:p>
    <w:p w14:paraId="04F73F69" w14:textId="77777777" w:rsidR="00CE3715" w:rsidRPr="00A43979" w:rsidRDefault="00CE3715" w:rsidP="00CE3715">
      <w:pPr>
        <w:jc w:val="both"/>
        <w:rPr>
          <w:rFonts w:ascii="Garamond" w:hAnsi="Garamond"/>
          <w:spacing w:val="-6"/>
          <w:sz w:val="22"/>
          <w:szCs w:val="22"/>
        </w:rPr>
      </w:pPr>
      <w:r w:rsidRPr="00A43979">
        <w:rPr>
          <w:rFonts w:ascii="Garamond" w:hAnsi="Garamond"/>
          <w:spacing w:val="-6"/>
          <w:sz w:val="22"/>
          <w:szCs w:val="22"/>
        </w:rPr>
        <w:t xml:space="preserve">Загальна кількість акцій Товариства складає </w:t>
      </w:r>
      <w:r w:rsidRPr="00A43979">
        <w:rPr>
          <w:rFonts w:ascii="Garamond" w:hAnsi="Garamond"/>
          <w:spacing w:val="-6"/>
          <w:sz w:val="22"/>
          <w:szCs w:val="22"/>
          <w:lang w:val="ru-RU"/>
        </w:rPr>
        <w:t>335 332 950</w:t>
      </w:r>
      <w:r w:rsidRPr="00A43979">
        <w:rPr>
          <w:rFonts w:ascii="Garamond" w:hAnsi="Garamond"/>
          <w:spacing w:val="-6"/>
          <w:sz w:val="22"/>
          <w:szCs w:val="22"/>
        </w:rPr>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 шт.</w:t>
      </w:r>
      <w:r w:rsidRPr="00A43979">
        <w:rPr>
          <w:rStyle w:val="af9"/>
          <w:rFonts w:ascii="Garamond" w:hAnsi="Garamond"/>
          <w:spacing w:val="-6"/>
          <w:sz w:val="22"/>
          <w:szCs w:val="22"/>
        </w:rPr>
        <w:footnoteReference w:id="1"/>
      </w:r>
    </w:p>
    <w:p w14:paraId="1C484223" w14:textId="77777777" w:rsidR="00CE3715" w:rsidRPr="00A43979" w:rsidRDefault="00CE3715" w:rsidP="00CE3715">
      <w:pPr>
        <w:jc w:val="both"/>
        <w:rPr>
          <w:rFonts w:ascii="Garamond" w:hAnsi="Garamond"/>
          <w:i/>
          <w:iCs/>
          <w:spacing w:val="-6"/>
          <w:sz w:val="22"/>
          <w:szCs w:val="22"/>
        </w:rPr>
      </w:pPr>
    </w:p>
    <w:p w14:paraId="3175DEC5" w14:textId="6FA07176" w:rsidR="00462A0F" w:rsidRPr="00CE3715" w:rsidRDefault="00462A0F" w:rsidP="00CE3715"/>
    <w:sectPr w:rsidR="00462A0F" w:rsidRPr="00CE3715" w:rsidSect="00CC1F1D">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27D1" w14:textId="77777777" w:rsidR="0054579F" w:rsidRDefault="0054579F" w:rsidP="00B840A0">
      <w:r>
        <w:separator/>
      </w:r>
    </w:p>
  </w:endnote>
  <w:endnote w:type="continuationSeparator" w:id="0">
    <w:p w14:paraId="083C5E53" w14:textId="77777777" w:rsidR="0054579F" w:rsidRDefault="0054579F"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29770685"/>
      <w:docPartObj>
        <w:docPartGallery w:val="Page Numbers (Bottom of Page)"/>
        <w:docPartUnique/>
      </w:docPartObj>
    </w:sdtPr>
    <w:sdtEndPr>
      <w:rPr>
        <w:sz w:val="24"/>
        <w:szCs w:val="24"/>
      </w:rPr>
    </w:sdtEndPr>
    <w:sdtContent>
      <w:p w14:paraId="5C0993D6" w14:textId="119CD971"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D749D3">
          <w:rPr>
            <w:noProof/>
            <w:sz w:val="22"/>
            <w:szCs w:val="22"/>
          </w:rPr>
          <w:t>1</w:t>
        </w:r>
        <w:r w:rsidRPr="0093399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1238" w14:textId="77777777" w:rsidR="0054579F" w:rsidRDefault="0054579F" w:rsidP="00B840A0">
      <w:r>
        <w:separator/>
      </w:r>
    </w:p>
  </w:footnote>
  <w:footnote w:type="continuationSeparator" w:id="0">
    <w:p w14:paraId="23F13C28" w14:textId="77777777" w:rsidR="0054579F" w:rsidRDefault="0054579F" w:rsidP="00B840A0">
      <w:r>
        <w:continuationSeparator/>
      </w:r>
    </w:p>
  </w:footnote>
  <w:footnote w:id="1">
    <w:p w14:paraId="1B1E0BE3" w14:textId="77777777" w:rsidR="00CE3715" w:rsidRPr="00A43979" w:rsidRDefault="00CE3715" w:rsidP="00CE3715">
      <w:pPr>
        <w:pStyle w:val="af7"/>
        <w:jc w:val="both"/>
        <w:rPr>
          <w:i/>
          <w:iCs/>
          <w:lang w:val="ru-UA"/>
        </w:rPr>
      </w:pPr>
      <w:r w:rsidRPr="00A43979">
        <w:rPr>
          <w:rStyle w:val="af9"/>
          <w:i/>
          <w:iCs/>
          <w:color w:val="767171" w:themeColor="background2" w:themeShade="80"/>
        </w:rPr>
        <w:footnoteRef/>
      </w:r>
      <w:r w:rsidRPr="00A43979">
        <w:rPr>
          <w:i/>
          <w:iCs/>
          <w:color w:val="767171" w:themeColor="background2" w:themeShade="80"/>
        </w:rPr>
        <w:t xml:space="preserve"> </w:t>
      </w:r>
      <w:r w:rsidRPr="00A43979">
        <w:rPr>
          <w:i/>
          <w:iCs/>
          <w:color w:val="767171" w:themeColor="background2" w:themeShade="80"/>
          <w:lang w:val="ru-UA"/>
        </w:rPr>
        <w:t>З</w:t>
      </w:r>
      <w:r w:rsidRPr="00A43979">
        <w:rPr>
          <w:i/>
          <w:iCs/>
          <w:color w:val="767171" w:themeColor="background2" w:themeShade="80"/>
        </w:rPr>
        <w:t>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зазначається після отримання відповідного переліку осіб від ПАТ «Національний депозитарій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F28"/>
    <w:multiLevelType w:val="hybridMultilevel"/>
    <w:tmpl w:val="10D2886A"/>
    <w:lvl w:ilvl="0" w:tplc="5F34AE82">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047FB3"/>
    <w:multiLevelType w:val="hybridMultilevel"/>
    <w:tmpl w:val="065EC098"/>
    <w:lvl w:ilvl="0" w:tplc="89EEF7A4">
      <w:start w:val="1"/>
      <w:numFmt w:val="decimal"/>
      <w:lvlText w:val="1.1.%1."/>
      <w:lvlJc w:val="left"/>
      <w:pPr>
        <w:ind w:left="1854" w:hanging="360"/>
      </w:pPr>
      <w:rPr>
        <w:rFonts w:hint="default"/>
      </w:rPr>
    </w:lvl>
    <w:lvl w:ilvl="1" w:tplc="89EEF7A4">
      <w:start w:val="1"/>
      <w:numFmt w:val="decimal"/>
      <w:lvlText w:val="1.1.%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94896"/>
    <w:multiLevelType w:val="hybridMultilevel"/>
    <w:tmpl w:val="AD809D0C"/>
    <w:lvl w:ilvl="0" w:tplc="C270B5CE">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52F54D0"/>
    <w:multiLevelType w:val="multilevel"/>
    <w:tmpl w:val="4F4A35E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8FF5825"/>
    <w:multiLevelType w:val="hybridMultilevel"/>
    <w:tmpl w:val="7F1E4574"/>
    <w:lvl w:ilvl="0" w:tplc="D28CED34">
      <w:start w:val="1"/>
      <w:numFmt w:val="decimal"/>
      <w:lvlText w:val="1.5.%1."/>
      <w:lvlJc w:val="left"/>
      <w:pPr>
        <w:ind w:left="720" w:hanging="360"/>
      </w:pPr>
      <w:rPr>
        <w:rFonts w:hint="default"/>
        <w:i/>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18">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C27BE6"/>
    <w:multiLevelType w:val="multilevel"/>
    <w:tmpl w:val="C306625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
  </w:num>
  <w:num w:numId="6">
    <w:abstractNumId w:val="3"/>
  </w:num>
  <w:num w:numId="7">
    <w:abstractNumId w:val="7"/>
  </w:num>
  <w:num w:numId="8">
    <w:abstractNumId w:val="11"/>
  </w:num>
  <w:num w:numId="9">
    <w:abstractNumId w:val="25"/>
  </w:num>
  <w:num w:numId="10">
    <w:abstractNumId w:val="9"/>
  </w:num>
  <w:num w:numId="11">
    <w:abstractNumId w:val="19"/>
  </w:num>
  <w:num w:numId="12">
    <w:abstractNumId w:val="14"/>
  </w:num>
  <w:num w:numId="13">
    <w:abstractNumId w:val="18"/>
  </w:num>
  <w:num w:numId="14">
    <w:abstractNumId w:val="6"/>
  </w:num>
  <w:num w:numId="15">
    <w:abstractNumId w:val="12"/>
  </w:num>
  <w:num w:numId="16">
    <w:abstractNumId w:val="20"/>
  </w:num>
  <w:num w:numId="17">
    <w:abstractNumId w:val="13"/>
  </w:num>
  <w:num w:numId="18">
    <w:abstractNumId w:val="21"/>
  </w:num>
  <w:num w:numId="19">
    <w:abstractNumId w:val="17"/>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5"/>
  </w:num>
  <w:num w:numId="32">
    <w:abstractNumId w:val="23"/>
  </w:num>
  <w:num w:numId="33">
    <w:abstractNumId w:val="4"/>
  </w:num>
  <w:num w:numId="34">
    <w:abstractNumId w:val="1"/>
  </w:num>
  <w:num w:numId="35">
    <w:abstractNumId w:val="10"/>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3"/>
    <w:rsid w:val="000067FA"/>
    <w:rsid w:val="0002017B"/>
    <w:rsid w:val="00041E30"/>
    <w:rsid w:val="00056D89"/>
    <w:rsid w:val="00057F74"/>
    <w:rsid w:val="0006599F"/>
    <w:rsid w:val="0006677C"/>
    <w:rsid w:val="000671D2"/>
    <w:rsid w:val="000A51DD"/>
    <w:rsid w:val="000B1952"/>
    <w:rsid w:val="000C1462"/>
    <w:rsid w:val="000C574F"/>
    <w:rsid w:val="000D0085"/>
    <w:rsid w:val="000E77FA"/>
    <w:rsid w:val="000F2F92"/>
    <w:rsid w:val="00104575"/>
    <w:rsid w:val="00106FB2"/>
    <w:rsid w:val="00113A3D"/>
    <w:rsid w:val="0011703B"/>
    <w:rsid w:val="00151C1A"/>
    <w:rsid w:val="00154799"/>
    <w:rsid w:val="001644A4"/>
    <w:rsid w:val="00166CD9"/>
    <w:rsid w:val="001670B5"/>
    <w:rsid w:val="001776E6"/>
    <w:rsid w:val="00181791"/>
    <w:rsid w:val="001869CE"/>
    <w:rsid w:val="001919C4"/>
    <w:rsid w:val="001A7F5A"/>
    <w:rsid w:val="001B4934"/>
    <w:rsid w:val="001B5E0E"/>
    <w:rsid w:val="001D2DB5"/>
    <w:rsid w:val="001D3F9C"/>
    <w:rsid w:val="001E72FC"/>
    <w:rsid w:val="001F4012"/>
    <w:rsid w:val="001F6EE4"/>
    <w:rsid w:val="002000E1"/>
    <w:rsid w:val="00201780"/>
    <w:rsid w:val="002026F7"/>
    <w:rsid w:val="00211090"/>
    <w:rsid w:val="0021391B"/>
    <w:rsid w:val="002237B4"/>
    <w:rsid w:val="002245CE"/>
    <w:rsid w:val="0023664A"/>
    <w:rsid w:val="00241538"/>
    <w:rsid w:val="002416A9"/>
    <w:rsid w:val="00243A8C"/>
    <w:rsid w:val="00282B31"/>
    <w:rsid w:val="0029188A"/>
    <w:rsid w:val="00294628"/>
    <w:rsid w:val="002A6104"/>
    <w:rsid w:val="002A7421"/>
    <w:rsid w:val="002B4B45"/>
    <w:rsid w:val="002C32BA"/>
    <w:rsid w:val="002C4009"/>
    <w:rsid w:val="002C5CE1"/>
    <w:rsid w:val="002D0D59"/>
    <w:rsid w:val="002E1B8F"/>
    <w:rsid w:val="002F29D7"/>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06340"/>
    <w:rsid w:val="00422E64"/>
    <w:rsid w:val="004253D5"/>
    <w:rsid w:val="00436112"/>
    <w:rsid w:val="00441DB0"/>
    <w:rsid w:val="00451C06"/>
    <w:rsid w:val="00456031"/>
    <w:rsid w:val="00462A0F"/>
    <w:rsid w:val="00487747"/>
    <w:rsid w:val="004A0F48"/>
    <w:rsid w:val="004B5E0E"/>
    <w:rsid w:val="004C0D9F"/>
    <w:rsid w:val="004C364A"/>
    <w:rsid w:val="004D18EB"/>
    <w:rsid w:val="00512B92"/>
    <w:rsid w:val="00513E47"/>
    <w:rsid w:val="005236C1"/>
    <w:rsid w:val="00526A9D"/>
    <w:rsid w:val="0052726D"/>
    <w:rsid w:val="00535A7F"/>
    <w:rsid w:val="00542058"/>
    <w:rsid w:val="00543580"/>
    <w:rsid w:val="005454AE"/>
    <w:rsid w:val="0054579F"/>
    <w:rsid w:val="00550975"/>
    <w:rsid w:val="005630EB"/>
    <w:rsid w:val="00576E69"/>
    <w:rsid w:val="005B28A6"/>
    <w:rsid w:val="005C6FDD"/>
    <w:rsid w:val="005D0F4C"/>
    <w:rsid w:val="005D2006"/>
    <w:rsid w:val="005D2A7F"/>
    <w:rsid w:val="005E2C1A"/>
    <w:rsid w:val="005F339E"/>
    <w:rsid w:val="00626A4E"/>
    <w:rsid w:val="00633F36"/>
    <w:rsid w:val="00634848"/>
    <w:rsid w:val="00635408"/>
    <w:rsid w:val="0065259C"/>
    <w:rsid w:val="00667D3D"/>
    <w:rsid w:val="00670C65"/>
    <w:rsid w:val="00672A2E"/>
    <w:rsid w:val="00683518"/>
    <w:rsid w:val="0068548A"/>
    <w:rsid w:val="00686096"/>
    <w:rsid w:val="00691EDA"/>
    <w:rsid w:val="0069212E"/>
    <w:rsid w:val="006A06F7"/>
    <w:rsid w:val="006A57E5"/>
    <w:rsid w:val="006C3FE9"/>
    <w:rsid w:val="006D0290"/>
    <w:rsid w:val="006D0A48"/>
    <w:rsid w:val="006E1EB1"/>
    <w:rsid w:val="006E622E"/>
    <w:rsid w:val="006F489D"/>
    <w:rsid w:val="0070244F"/>
    <w:rsid w:val="00730E0C"/>
    <w:rsid w:val="00734193"/>
    <w:rsid w:val="00745B2D"/>
    <w:rsid w:val="00746159"/>
    <w:rsid w:val="00761967"/>
    <w:rsid w:val="007627C4"/>
    <w:rsid w:val="007669B6"/>
    <w:rsid w:val="00781DE6"/>
    <w:rsid w:val="0079202F"/>
    <w:rsid w:val="007974F0"/>
    <w:rsid w:val="007A0430"/>
    <w:rsid w:val="007B7C79"/>
    <w:rsid w:val="007D0640"/>
    <w:rsid w:val="007E1571"/>
    <w:rsid w:val="007F4515"/>
    <w:rsid w:val="00822380"/>
    <w:rsid w:val="00823A87"/>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1701C"/>
    <w:rsid w:val="00920495"/>
    <w:rsid w:val="0092108A"/>
    <w:rsid w:val="00933998"/>
    <w:rsid w:val="00940525"/>
    <w:rsid w:val="009730E5"/>
    <w:rsid w:val="00974ED5"/>
    <w:rsid w:val="00977B83"/>
    <w:rsid w:val="00984F86"/>
    <w:rsid w:val="00986EED"/>
    <w:rsid w:val="00987806"/>
    <w:rsid w:val="00994658"/>
    <w:rsid w:val="009E63AA"/>
    <w:rsid w:val="00A132F3"/>
    <w:rsid w:val="00A14BD1"/>
    <w:rsid w:val="00A14E18"/>
    <w:rsid w:val="00A26CA8"/>
    <w:rsid w:val="00A309B4"/>
    <w:rsid w:val="00A50391"/>
    <w:rsid w:val="00A76CF1"/>
    <w:rsid w:val="00A86995"/>
    <w:rsid w:val="00A86F1F"/>
    <w:rsid w:val="00A92F0C"/>
    <w:rsid w:val="00AA19B9"/>
    <w:rsid w:val="00AC7FAA"/>
    <w:rsid w:val="00AD6A0E"/>
    <w:rsid w:val="00AE675F"/>
    <w:rsid w:val="00AF369F"/>
    <w:rsid w:val="00B0769B"/>
    <w:rsid w:val="00B12D3F"/>
    <w:rsid w:val="00B22B5E"/>
    <w:rsid w:val="00B415BA"/>
    <w:rsid w:val="00B4381C"/>
    <w:rsid w:val="00B467AF"/>
    <w:rsid w:val="00B46F53"/>
    <w:rsid w:val="00B51515"/>
    <w:rsid w:val="00B64921"/>
    <w:rsid w:val="00B7131C"/>
    <w:rsid w:val="00B77C79"/>
    <w:rsid w:val="00B840A0"/>
    <w:rsid w:val="00BA2F9B"/>
    <w:rsid w:val="00BC0BF9"/>
    <w:rsid w:val="00BC3CCF"/>
    <w:rsid w:val="00BC5C64"/>
    <w:rsid w:val="00BD23FE"/>
    <w:rsid w:val="00BE06C0"/>
    <w:rsid w:val="00BF171C"/>
    <w:rsid w:val="00BF77E1"/>
    <w:rsid w:val="00C22081"/>
    <w:rsid w:val="00C47655"/>
    <w:rsid w:val="00C50184"/>
    <w:rsid w:val="00C60626"/>
    <w:rsid w:val="00C66704"/>
    <w:rsid w:val="00C77424"/>
    <w:rsid w:val="00C80EFC"/>
    <w:rsid w:val="00C9666F"/>
    <w:rsid w:val="00C96684"/>
    <w:rsid w:val="00C97D5F"/>
    <w:rsid w:val="00CA194F"/>
    <w:rsid w:val="00CA266F"/>
    <w:rsid w:val="00CA3C2E"/>
    <w:rsid w:val="00CC0DD5"/>
    <w:rsid w:val="00CC1F1D"/>
    <w:rsid w:val="00CE3715"/>
    <w:rsid w:val="00CE7146"/>
    <w:rsid w:val="00D011F6"/>
    <w:rsid w:val="00D11BDC"/>
    <w:rsid w:val="00D17E62"/>
    <w:rsid w:val="00D248EE"/>
    <w:rsid w:val="00D2667A"/>
    <w:rsid w:val="00D316D7"/>
    <w:rsid w:val="00D34C5D"/>
    <w:rsid w:val="00D34DB9"/>
    <w:rsid w:val="00D3764E"/>
    <w:rsid w:val="00D458BE"/>
    <w:rsid w:val="00D46766"/>
    <w:rsid w:val="00D659C7"/>
    <w:rsid w:val="00D71516"/>
    <w:rsid w:val="00D749D3"/>
    <w:rsid w:val="00D76009"/>
    <w:rsid w:val="00D90B49"/>
    <w:rsid w:val="00D94CED"/>
    <w:rsid w:val="00D97F32"/>
    <w:rsid w:val="00DA5B0B"/>
    <w:rsid w:val="00DB3BF9"/>
    <w:rsid w:val="00DD2613"/>
    <w:rsid w:val="00DD4E33"/>
    <w:rsid w:val="00DD7DAF"/>
    <w:rsid w:val="00DE1987"/>
    <w:rsid w:val="00E056C0"/>
    <w:rsid w:val="00E300DC"/>
    <w:rsid w:val="00E529F0"/>
    <w:rsid w:val="00E56E19"/>
    <w:rsid w:val="00E5799E"/>
    <w:rsid w:val="00E63FEE"/>
    <w:rsid w:val="00E66783"/>
    <w:rsid w:val="00E77C0D"/>
    <w:rsid w:val="00E8747D"/>
    <w:rsid w:val="00E902FA"/>
    <w:rsid w:val="00E91CCB"/>
    <w:rsid w:val="00EA2EA1"/>
    <w:rsid w:val="00EA4927"/>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5153"/>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 w:type="paragraph" w:styleId="af7">
    <w:name w:val="footnote text"/>
    <w:basedOn w:val="a"/>
    <w:link w:val="af8"/>
    <w:uiPriority w:val="99"/>
    <w:semiHidden/>
    <w:unhideWhenUsed/>
    <w:rsid w:val="00406340"/>
    <w:rPr>
      <w:sz w:val="20"/>
      <w:szCs w:val="20"/>
    </w:rPr>
  </w:style>
  <w:style w:type="character" w:customStyle="1" w:styleId="af8">
    <w:name w:val="Текст сноски Знак"/>
    <w:basedOn w:val="a0"/>
    <w:link w:val="af7"/>
    <w:uiPriority w:val="99"/>
    <w:semiHidden/>
    <w:rsid w:val="00406340"/>
    <w:rPr>
      <w:rFonts w:ascii="Times New Roman" w:eastAsia="Times New Roman" w:hAnsi="Times New Roman" w:cs="Times New Roman"/>
      <w:sz w:val="20"/>
      <w:szCs w:val="20"/>
      <w:lang w:val="uk-UA" w:eastAsia="uk-UA"/>
    </w:rPr>
  </w:style>
  <w:style w:type="character" w:styleId="af9">
    <w:name w:val="footnote reference"/>
    <w:basedOn w:val="a0"/>
    <w:uiPriority w:val="99"/>
    <w:semiHidden/>
    <w:unhideWhenUsed/>
    <w:rsid w:val="0040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230845843">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ZaikaOS/AppData/Local/Microsoft/Windows/INetCache/Content.Outlook/9E98A7DQ/visotskij.gennadij@cor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BA72-FF18-4E88-AD67-293FF8EB1365}">
  <ds:schemaRefs>
    <ds:schemaRef ds:uri="http://schemas.microsoft.com/sharepoint/v3/contenttype/forms"/>
  </ds:schemaRefs>
</ds:datastoreItem>
</file>

<file path=customXml/itemProps4.xml><?xml version="1.0" encoding="utf-8"?>
<ds:datastoreItem xmlns:ds="http://schemas.openxmlformats.org/officeDocument/2006/customXml" ds:itemID="{08783340-3DDB-454B-AF9B-06D4DD6C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2355</Words>
  <Characters>13428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Depo</cp:lastModifiedBy>
  <cp:revision>2</cp:revision>
  <cp:lastPrinted>2020-09-09T15:15:00Z</cp:lastPrinted>
  <dcterms:created xsi:type="dcterms:W3CDTF">2021-05-12T14:22:00Z</dcterms:created>
  <dcterms:modified xsi:type="dcterms:W3CDTF">2021-05-12T14:22:00Z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